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8B0169" w14:textId="409FB41B" w:rsidR="008D6671" w:rsidRDefault="00764F3E">
      <w:r>
        <w:fldChar w:fldCharType="begin"/>
      </w:r>
      <w:r>
        <w:instrText>HYPERLINK "</w:instrText>
      </w:r>
      <w:r w:rsidRPr="00764F3E">
        <w:instrText>https://johnmenadue.com/leibler-a-covert-agent-of-israeli-intelligence/</w:instrText>
      </w:r>
      <w:r>
        <w:instrText>"</w:instrText>
      </w:r>
      <w:r>
        <w:fldChar w:fldCharType="separate"/>
      </w:r>
      <w:r w:rsidRPr="00513472">
        <w:rPr>
          <w:rStyle w:val="Hyperlink"/>
        </w:rPr>
        <w:t>https://johnmenadue.com/leibler-a-covert-agent-of-israeli-intelligence/</w:t>
      </w:r>
      <w:r>
        <w:fldChar w:fldCharType="end"/>
      </w:r>
    </w:p>
    <w:p w14:paraId="381E5523" w14:textId="31C34CB8" w:rsidR="00764F3E" w:rsidRDefault="00764F3E">
      <w:r>
        <w:t>Accessed 7 Dec 2024</w:t>
      </w:r>
    </w:p>
    <w:p w14:paraId="6CA78662" w14:textId="77777777" w:rsidR="00764F3E" w:rsidRDefault="00764F3E"/>
    <w:p w14:paraId="6B25D7C9" w14:textId="77777777" w:rsidR="00764F3E" w:rsidRPr="00764F3E" w:rsidRDefault="00764F3E" w:rsidP="00764F3E">
      <w:hyperlink r:id="rId4" w:history="1">
        <w:r w:rsidRPr="00764F3E">
          <w:rPr>
            <w:rStyle w:val="Hyperlink"/>
          </w:rPr>
          <w:t>Australian foreign policy</w:t>
        </w:r>
      </w:hyperlink>
      <w:r w:rsidRPr="00764F3E">
        <w:t>, </w:t>
      </w:r>
      <w:hyperlink r:id="rId5" w:history="1">
        <w:r w:rsidRPr="00764F3E">
          <w:rPr>
            <w:rStyle w:val="Hyperlink"/>
          </w:rPr>
          <w:t>Media</w:t>
        </w:r>
      </w:hyperlink>
      <w:r w:rsidRPr="00764F3E">
        <w:t>, </w:t>
      </w:r>
      <w:hyperlink r:id="rId6" w:history="1">
        <w:r w:rsidRPr="00764F3E">
          <w:rPr>
            <w:rStyle w:val="Hyperlink"/>
          </w:rPr>
          <w:t>Politics</w:t>
        </w:r>
      </w:hyperlink>
      <w:r w:rsidRPr="00764F3E">
        <w:t>, </w:t>
      </w:r>
      <w:hyperlink r:id="rId7" w:history="1">
        <w:r w:rsidRPr="00764F3E">
          <w:rPr>
            <w:rStyle w:val="Hyperlink"/>
          </w:rPr>
          <w:t>Top 5</w:t>
        </w:r>
      </w:hyperlink>
    </w:p>
    <w:p w14:paraId="25D43162" w14:textId="77777777" w:rsidR="00764F3E" w:rsidRPr="00764F3E" w:rsidRDefault="00764F3E" w:rsidP="00764F3E">
      <w:r w:rsidRPr="00764F3E">
        <w:t xml:space="preserve">Executive Council of Australian Jewry’s Isi </w:t>
      </w:r>
      <w:proofErr w:type="spellStart"/>
      <w:r w:rsidRPr="00764F3E">
        <w:t>Leibler</w:t>
      </w:r>
      <w:proofErr w:type="spellEnd"/>
      <w:r w:rsidRPr="00764F3E">
        <w:t xml:space="preserve"> was a “covert agent of Israeli intelligence”</w:t>
      </w:r>
    </w:p>
    <w:p w14:paraId="58773DB7" w14:textId="77777777" w:rsidR="00764F3E" w:rsidRPr="00764F3E" w:rsidRDefault="00764F3E" w:rsidP="00764F3E">
      <w:r w:rsidRPr="00764F3E">
        <w:t>By Robert Manne</w:t>
      </w:r>
    </w:p>
    <w:p w14:paraId="71876966" w14:textId="77777777" w:rsidR="00764F3E" w:rsidRPr="00764F3E" w:rsidRDefault="00764F3E" w:rsidP="00764F3E">
      <w:r w:rsidRPr="00764F3E">
        <w:t>Dec 4, 2024</w:t>
      </w:r>
    </w:p>
    <w:p w14:paraId="72E358AD" w14:textId="339692B1" w:rsidR="00764F3E" w:rsidRPr="00764F3E" w:rsidRDefault="00764F3E" w:rsidP="00764F3E">
      <w:r w:rsidRPr="00764F3E">
        <w:fldChar w:fldCharType="begin"/>
      </w:r>
      <w:r w:rsidRPr="00764F3E">
        <w:instrText xml:space="preserve"> INCLUDEPICTURE "https://johnmenadue.com/wp-content/uploads/2024/12/2T0W62C-1.jpg" \* MERGEFORMATINET </w:instrText>
      </w:r>
      <w:r w:rsidRPr="00764F3E">
        <w:fldChar w:fldCharType="separate"/>
      </w:r>
      <w:r w:rsidRPr="00764F3E">
        <w:drawing>
          <wp:inline distT="0" distB="0" distL="0" distR="0" wp14:anchorId="7A3F5827" wp14:editId="19DFA3AB">
            <wp:extent cx="5731510" cy="3553460"/>
            <wp:effectExtent l="0" t="0" r="0" b="2540"/>
            <wp:docPr id="1417460847" name="Picture 2" descr="2T0W62C Sydney, Australia. 9th October 2023. Sydney Opera House is lit up in the colours of the Israeli flag after attack by Hamas. Credit: Richard Milnes/Alamy Liv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T0W62C Sydney, Australia. 9th October 2023. Sydney Opera House is lit up in the colours of the Israeli flag after attack by Hamas. Credit: Richard Milnes/Alamy Live New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553460"/>
                    </a:xfrm>
                    <a:prstGeom prst="rect">
                      <a:avLst/>
                    </a:prstGeom>
                    <a:noFill/>
                    <a:ln>
                      <a:noFill/>
                    </a:ln>
                  </pic:spPr>
                </pic:pic>
              </a:graphicData>
            </a:graphic>
          </wp:inline>
        </w:drawing>
      </w:r>
      <w:r w:rsidRPr="00764F3E">
        <w:fldChar w:fldCharType="end"/>
      </w:r>
    </w:p>
    <w:p w14:paraId="16CDD0F9" w14:textId="77777777" w:rsidR="00764F3E" w:rsidRPr="00764F3E" w:rsidRDefault="00764F3E" w:rsidP="00764F3E">
      <w:r w:rsidRPr="00764F3E">
        <w:rPr>
          <w:i/>
          <w:iCs/>
        </w:rPr>
        <w:t>When I began editing Quadrant with Peter Coleman in 1989, my co-editorship was soon overwhelmed by the most unpleasant controversy of my life, at least thus far.</w:t>
      </w:r>
    </w:p>
    <w:p w14:paraId="70D69820" w14:textId="77777777" w:rsidR="00764F3E" w:rsidRPr="00764F3E" w:rsidRDefault="00764F3E" w:rsidP="00764F3E">
      <w:r w:rsidRPr="00764F3E">
        <w:t>Peter Coleman suggested that we should publish two of my Melbourne </w:t>
      </w:r>
      <w:r w:rsidRPr="00764F3E">
        <w:rPr>
          <w:i/>
          <w:iCs/>
        </w:rPr>
        <w:t>Herald</w:t>
      </w:r>
      <w:r w:rsidRPr="00764F3E">
        <w:t> columns in each issue. For April, one of the columns I chose concerned the most recent development in the Hawke government’s “war crimes” legislation. Not only were the war crimes that might be prosecuted limited in time to the Second World War, in a last-moment amendment they were also limited geographically to what one minister, Michael Tate, called the continent of Europe “left of the Urals”. It was generally believed that this amendment had been introduced in case the war crimes legislation interfered with the emerging Japanese tourist trade.</w:t>
      </w:r>
    </w:p>
    <w:p w14:paraId="73970240" w14:textId="77777777" w:rsidR="00764F3E" w:rsidRPr="00764F3E" w:rsidRDefault="00764F3E" w:rsidP="00764F3E">
      <w:r w:rsidRPr="00764F3E">
        <w:t>As it happened, the passage of the amended war crimes legislation coincided with the death of Emperor Hirohito, the Japanese war leader, who was actively responsible for troops involved in the murder of vast numbers of Chinese</w:t>
      </w:r>
      <w:r w:rsidRPr="00764F3E">
        <w:rPr>
          <w:rFonts w:ascii="Arial" w:hAnsi="Arial" w:cs="Arial"/>
        </w:rPr>
        <w:t> </w:t>
      </w:r>
      <w:r w:rsidRPr="00764F3E">
        <w:t>– according to the recent estimate by Francis Pike in his </w:t>
      </w:r>
      <w:r w:rsidRPr="00764F3E">
        <w:rPr>
          <w:i/>
          <w:iCs/>
        </w:rPr>
        <w:t>Hirohito’s War</w:t>
      </w:r>
      <w:r w:rsidRPr="00764F3E">
        <w:t>, 20</w:t>
      </w:r>
      <w:r w:rsidRPr="00764F3E">
        <w:rPr>
          <w:rFonts w:ascii="Arial" w:hAnsi="Arial" w:cs="Arial"/>
        </w:rPr>
        <w:t> </w:t>
      </w:r>
      <w:r w:rsidRPr="00764F3E">
        <w:t>million</w:t>
      </w:r>
      <w:r w:rsidRPr="00764F3E">
        <w:rPr>
          <w:rFonts w:ascii="Arial" w:hAnsi="Arial" w:cs="Arial"/>
        </w:rPr>
        <w:t> </w:t>
      </w:r>
      <w:r w:rsidRPr="00764F3E">
        <w:t>– and for the executions and torture of large numbers of Australian prisoners of war, captured by the Japanese following the fall of Singapore. While preparing to prosecute a handful of obscure Eastern Europeans involved in Hitler’s war against the Jews, the Hawke government was preparing to send to Tokyo a high-level delegation to mourn the death of this major war criminal.</w:t>
      </w:r>
    </w:p>
    <w:p w14:paraId="033E5068" w14:textId="77777777" w:rsidR="00764F3E" w:rsidRPr="00764F3E" w:rsidRDefault="00764F3E" w:rsidP="00764F3E">
      <w:r w:rsidRPr="00764F3E">
        <w:lastRenderedPageBreak/>
        <w:t xml:space="preserve">My brief column explored the paradoxical presence of moral absolutism in Europe and moral ultra-pragmatism in Asia. “Most Australians’ direct experience of war crimes stems from the Burma Railway and not Auschwitz,” I wrote. “Judgment has deserted a </w:t>
      </w:r>
      <w:proofErr w:type="gramStart"/>
      <w:r w:rsidRPr="00764F3E">
        <w:t>Government</w:t>
      </w:r>
      <w:proofErr w:type="gramEnd"/>
      <w:r w:rsidRPr="00764F3E">
        <w:t xml:space="preserve"> which thinks it can ask Australians to mourn Hirohito and, simultaneously, put some local East European SS guard on trial.”</w:t>
      </w:r>
    </w:p>
    <w:p w14:paraId="089F62B4" w14:textId="77777777" w:rsidR="00764F3E" w:rsidRPr="00764F3E" w:rsidRDefault="00764F3E" w:rsidP="00764F3E">
      <w:r w:rsidRPr="00764F3E">
        <w:t>By now almost everyone in the Jewish community following the debate about the war crimes legislation was probably aware of the reasons for my opposition. In addition, many involved in the cultural politics of the Jewish community must have known of my engagement, in thought and in writing, with what I regarded as the unique evil of the Holocaust.</w:t>
      </w:r>
    </w:p>
    <w:p w14:paraId="659A3A5B" w14:textId="77777777" w:rsidR="00764F3E" w:rsidRPr="00764F3E" w:rsidRDefault="00764F3E" w:rsidP="00764F3E">
      <w:r w:rsidRPr="00764F3E">
        <w:t>And yet </w:t>
      </w:r>
      <w:r w:rsidRPr="00764F3E">
        <w:rPr>
          <w:i/>
          <w:iCs/>
        </w:rPr>
        <w:t>Quadrant</w:t>
      </w:r>
      <w:r w:rsidRPr="00764F3E">
        <w:t> received the following extraordinary letter from the late Bill Rubinstein, a New York historian with an academic post at Deakin University in Melbourne, and a man for whom courtesy was an unknown human quality. Rubinstein’s letter-to-the-editors began thus:</w:t>
      </w:r>
    </w:p>
    <w:p w14:paraId="68BD90E9" w14:textId="77777777" w:rsidR="00764F3E" w:rsidRPr="00764F3E" w:rsidRDefault="00764F3E" w:rsidP="00764F3E">
      <w:pPr>
        <w:rPr>
          <w:i/>
          <w:iCs/>
        </w:rPr>
      </w:pPr>
      <w:r w:rsidRPr="00764F3E">
        <w:rPr>
          <w:i/>
          <w:iCs/>
        </w:rPr>
        <w:t>In his column, “Left of the Urals”</w:t>
      </w:r>
      <w:r w:rsidRPr="00764F3E">
        <w:rPr>
          <w:rFonts w:ascii="Arial" w:hAnsi="Arial" w:cs="Arial"/>
          <w:i/>
          <w:iCs/>
        </w:rPr>
        <w:t> </w:t>
      </w:r>
      <w:r w:rsidRPr="00764F3E">
        <w:rPr>
          <w:i/>
          <w:iCs/>
        </w:rPr>
        <w:t xml:space="preserve">… Robert Manne makes one of the </w:t>
      </w:r>
      <w:proofErr w:type="gramStart"/>
      <w:r w:rsidRPr="00764F3E">
        <w:rPr>
          <w:i/>
          <w:iCs/>
        </w:rPr>
        <w:t>most obscene</w:t>
      </w:r>
      <w:proofErr w:type="gramEnd"/>
      <w:r w:rsidRPr="00764F3E">
        <w:rPr>
          <w:i/>
          <w:iCs/>
        </w:rPr>
        <w:t xml:space="preserve"> false analogies ever to appear in Quadrant; indeed, one would have to turn to a racist journal of the neo-fascist extreme right to find a similar point in print</w:t>
      </w:r>
      <w:r w:rsidRPr="00764F3E">
        <w:rPr>
          <w:rFonts w:ascii="Arial" w:hAnsi="Arial" w:cs="Arial"/>
          <w:i/>
          <w:iCs/>
        </w:rPr>
        <w:t> </w:t>
      </w:r>
      <w:r w:rsidRPr="00764F3E">
        <w:rPr>
          <w:i/>
          <w:iCs/>
        </w:rPr>
        <w:t>… The “minor European war criminals” whom Manne weeps over may well have murdered 500 Jewish (and other) women and children in cold blood</w:t>
      </w:r>
      <w:r w:rsidRPr="00764F3E">
        <w:rPr>
          <w:rFonts w:ascii="Arial" w:hAnsi="Arial" w:cs="Arial"/>
          <w:i/>
          <w:iCs/>
        </w:rPr>
        <w:t> </w:t>
      </w:r>
      <w:r w:rsidRPr="00764F3E">
        <w:rPr>
          <w:i/>
          <w:iCs/>
        </w:rPr>
        <w:t>… Imperial Japan at its worst never engaged in genocide and never attempted to murder a whole people</w:t>
      </w:r>
      <w:r w:rsidRPr="00764F3E">
        <w:rPr>
          <w:rFonts w:ascii="Arial" w:hAnsi="Arial" w:cs="Arial"/>
          <w:i/>
          <w:iCs/>
        </w:rPr>
        <w:t> </w:t>
      </w:r>
      <w:r w:rsidRPr="00764F3E">
        <w:rPr>
          <w:i/>
          <w:iCs/>
        </w:rPr>
        <w:t xml:space="preserve">… </w:t>
      </w:r>
      <w:proofErr w:type="gramStart"/>
      <w:r w:rsidRPr="00764F3E">
        <w:rPr>
          <w:i/>
          <w:iCs/>
        </w:rPr>
        <w:t>Indeed</w:t>
      </w:r>
      <w:proofErr w:type="gramEnd"/>
      <w:r w:rsidRPr="00764F3E">
        <w:rPr>
          <w:i/>
          <w:iCs/>
        </w:rPr>
        <w:t xml:space="preserve"> concerning the Nazi genocide of the Jews, it is well-known that Japan pointedly refused to kill any of the Jews living in its domains</w:t>
      </w:r>
      <w:r w:rsidRPr="00764F3E">
        <w:rPr>
          <w:rFonts w:ascii="Arial" w:hAnsi="Arial" w:cs="Arial"/>
          <w:i/>
          <w:iCs/>
        </w:rPr>
        <w:t> </w:t>
      </w:r>
      <w:r w:rsidRPr="00764F3E">
        <w:rPr>
          <w:i/>
          <w:iCs/>
        </w:rPr>
        <w:t>… I</w:t>
      </w:r>
      <w:r w:rsidRPr="00764F3E">
        <w:rPr>
          <w:rFonts w:ascii="Arial" w:hAnsi="Arial" w:cs="Arial"/>
          <w:i/>
          <w:iCs/>
        </w:rPr>
        <w:t> </w:t>
      </w:r>
      <w:r w:rsidRPr="00764F3E">
        <w:rPr>
          <w:i/>
          <w:iCs/>
        </w:rPr>
        <w:t>simply despair for the future of a once-great magazine</w:t>
      </w:r>
      <w:r w:rsidRPr="00764F3E">
        <w:rPr>
          <w:rFonts w:ascii="Arial" w:hAnsi="Arial" w:cs="Arial"/>
          <w:i/>
          <w:iCs/>
        </w:rPr>
        <w:t> </w:t>
      </w:r>
      <w:r w:rsidRPr="00764F3E">
        <w:rPr>
          <w:i/>
          <w:iCs/>
        </w:rPr>
        <w:t xml:space="preserve">… It is exceedingly strange that a man whose </w:t>
      </w:r>
      <w:proofErr w:type="gramStart"/>
      <w:r w:rsidRPr="00764F3E">
        <w:rPr>
          <w:i/>
          <w:iCs/>
        </w:rPr>
        <w:t>grand-parents</w:t>
      </w:r>
      <w:proofErr w:type="gramEnd"/>
      <w:r w:rsidRPr="00764F3E">
        <w:rPr>
          <w:i/>
          <w:iCs/>
        </w:rPr>
        <w:t xml:space="preserve"> were murdered by the Nazis should be so keen to see that their murderers get off scot-free, is it not?</w:t>
      </w:r>
    </w:p>
    <w:p w14:paraId="4B6D1FB9" w14:textId="77777777" w:rsidR="00764F3E" w:rsidRPr="00764F3E" w:rsidRDefault="00764F3E" w:rsidP="00764F3E">
      <w:r w:rsidRPr="00764F3E">
        <w:t>There have been very many unpleasant things written about me over the years, but nothing can compare with Rubinstein’s letter, which we published in </w:t>
      </w:r>
      <w:r w:rsidRPr="00764F3E">
        <w:rPr>
          <w:i/>
          <w:iCs/>
        </w:rPr>
        <w:t>Quadrant</w:t>
      </w:r>
      <w:r w:rsidRPr="00764F3E">
        <w:t> in June 1989.</w:t>
      </w:r>
    </w:p>
    <w:p w14:paraId="3466D752" w14:textId="77777777" w:rsidR="00764F3E" w:rsidRPr="00764F3E" w:rsidRDefault="00764F3E" w:rsidP="00764F3E">
      <w:r w:rsidRPr="00764F3E">
        <w:t xml:space="preserve">I had believed for a long time that my mentor and friend Frank </w:t>
      </w:r>
      <w:proofErr w:type="spellStart"/>
      <w:r w:rsidRPr="00764F3E">
        <w:t>Knopfelmacher</w:t>
      </w:r>
      <w:proofErr w:type="spellEnd"/>
      <w:r w:rsidRPr="00764F3E">
        <w:t>, overcome by the tragedy of twentieth-century Europe</w:t>
      </w:r>
      <w:r w:rsidRPr="00764F3E">
        <w:rPr>
          <w:rFonts w:ascii="Arial" w:hAnsi="Arial" w:cs="Arial"/>
        </w:rPr>
        <w:t> </w:t>
      </w:r>
      <w:r w:rsidRPr="00764F3E">
        <w:t>– by the almost unprecedented evil of both Nazism and Stalinism</w:t>
      </w:r>
      <w:r w:rsidRPr="00764F3E">
        <w:rPr>
          <w:rFonts w:ascii="Arial" w:hAnsi="Arial" w:cs="Arial"/>
        </w:rPr>
        <w:t> </w:t>
      </w:r>
      <w:r w:rsidRPr="00764F3E">
        <w:t xml:space="preserve">– was gradually losing his mind. The collapse of the Soviet Union afforded him no pleasure, as I thought it should. No one grasped the illegitimacy of the Soviet Union and its Eastern European satellite states as accurately as he. Needing a formidable enemy, </w:t>
      </w:r>
      <w:proofErr w:type="spellStart"/>
      <w:r w:rsidRPr="00764F3E">
        <w:t>Knopfelmacher</w:t>
      </w:r>
      <w:proofErr w:type="spellEnd"/>
      <w:r w:rsidRPr="00764F3E">
        <w:t xml:space="preserve"> turned to the group he believed now ran the show in the United States: neo-conservative, Zionist-inclined American Jews.</w:t>
      </w:r>
    </w:p>
    <w:p w14:paraId="685F39D5" w14:textId="77777777" w:rsidR="00764F3E" w:rsidRPr="00764F3E" w:rsidRDefault="00764F3E" w:rsidP="00764F3E">
      <w:r w:rsidRPr="00764F3E">
        <w:t xml:space="preserve">It was in this frame of mind that </w:t>
      </w:r>
      <w:proofErr w:type="spellStart"/>
      <w:r w:rsidRPr="00764F3E">
        <w:t>Knopfelmacher</w:t>
      </w:r>
      <w:proofErr w:type="spellEnd"/>
      <w:r w:rsidRPr="00764F3E">
        <w:t xml:space="preserve"> now sprang to my defence against Rubinstein with his own letter. He was happy we had published Rubinstein’s letter because it provided “an example of the kind of verbal bullying and attempted terror with which the ‘war-crimes’ racket has been shielded against critical evaluation”. </w:t>
      </w:r>
      <w:proofErr w:type="spellStart"/>
      <w:r w:rsidRPr="00764F3E">
        <w:t>Knopfelmacher</w:t>
      </w:r>
      <w:proofErr w:type="spellEnd"/>
      <w:r w:rsidRPr="00764F3E">
        <w:t xml:space="preserve"> argued that the consequence and purpose of the war crimes racket was ethnic destabilisation in Australia, targeting “Communist bloc ethnics and the rapidly diminishing holocaust survivors”.</w:t>
      </w:r>
    </w:p>
    <w:p w14:paraId="283A8070" w14:textId="77777777" w:rsidR="00764F3E" w:rsidRPr="00764F3E" w:rsidRDefault="00764F3E" w:rsidP="00764F3E">
      <w:proofErr w:type="spellStart"/>
      <w:r w:rsidRPr="00764F3E">
        <w:t>Knopfelmacher</w:t>
      </w:r>
      <w:proofErr w:type="spellEnd"/>
      <w:r w:rsidRPr="00764F3E">
        <w:t xml:space="preserve"> argued that the racket was engineered by the Likud government in Israel and powerful forces in both the United States and Australia. He hinted that some of the leading actors were Mossad agents: “</w:t>
      </w:r>
      <w:proofErr w:type="spellStart"/>
      <w:r w:rsidRPr="00764F3E">
        <w:t>Sudetenethnics</w:t>
      </w:r>
      <w:proofErr w:type="spellEnd"/>
      <w:r w:rsidRPr="00764F3E">
        <w:t xml:space="preserve"> attached as a fifth column to overseas fatherlands, and at the beck and call of their political directives”. “Pollard”</w:t>
      </w:r>
      <w:r w:rsidRPr="00764F3E">
        <w:rPr>
          <w:rFonts w:ascii="Arial" w:hAnsi="Arial" w:cs="Arial"/>
        </w:rPr>
        <w:t> </w:t>
      </w:r>
      <w:r w:rsidRPr="00764F3E">
        <w:t>– an American Jew who had spied for Israel and was currently in prison</w:t>
      </w:r>
      <w:r w:rsidRPr="00764F3E">
        <w:rPr>
          <w:rFonts w:ascii="Arial" w:hAnsi="Arial" w:cs="Arial"/>
        </w:rPr>
        <w:t> </w:t>
      </w:r>
      <w:r w:rsidRPr="00764F3E">
        <w:t xml:space="preserve">– “was only the tip </w:t>
      </w:r>
      <w:r w:rsidRPr="00764F3E">
        <w:lastRenderedPageBreak/>
        <w:t>of an iceberg”: “[T]he transformation of the Jewish diaspora into a reservoir of political auxiliaries for a</w:t>
      </w:r>
      <w:r w:rsidRPr="00764F3E">
        <w:rPr>
          <w:rFonts w:ascii="Arial" w:hAnsi="Arial" w:cs="Arial"/>
        </w:rPr>
        <w:t> </w:t>
      </w:r>
      <w:r w:rsidRPr="00764F3E">
        <w:t>country other than the one in which they live and prosper, and from which they neither came and to which they do not intend to go is a historically attested road to strife and ruin.”</w:t>
      </w:r>
    </w:p>
    <w:p w14:paraId="675E1D48" w14:textId="77777777" w:rsidR="00764F3E" w:rsidRPr="00764F3E" w:rsidRDefault="00764F3E" w:rsidP="00764F3E">
      <w:r w:rsidRPr="00764F3E">
        <w:t xml:space="preserve">It took me far too long to realise that </w:t>
      </w:r>
      <w:proofErr w:type="spellStart"/>
      <w:r w:rsidRPr="00764F3E">
        <w:t>Knopfelmacher’s</w:t>
      </w:r>
      <w:proofErr w:type="spellEnd"/>
      <w:r w:rsidRPr="00764F3E">
        <w:t xml:space="preserve"> letter was primarily aimed at the most powerful figure in the Australian Jewish community, Isi </w:t>
      </w:r>
      <w:proofErr w:type="spellStart"/>
      <w:r w:rsidRPr="00764F3E">
        <w:t>Leibler</w:t>
      </w:r>
      <w:proofErr w:type="spellEnd"/>
      <w:r w:rsidRPr="00764F3E">
        <w:t xml:space="preserve">, once a close political friend of </w:t>
      </w:r>
      <w:proofErr w:type="spellStart"/>
      <w:r w:rsidRPr="00764F3E">
        <w:t>Knopfelmacher’s</w:t>
      </w:r>
      <w:proofErr w:type="spellEnd"/>
      <w:r w:rsidRPr="00764F3E">
        <w:rPr>
          <w:rFonts w:ascii="Arial" w:hAnsi="Arial" w:cs="Arial"/>
        </w:rPr>
        <w:t> </w:t>
      </w:r>
      <w:r w:rsidRPr="00764F3E">
        <w:t>– in the campaign to allow Soviet Jews to emigrate to Israel</w:t>
      </w:r>
      <w:r w:rsidRPr="00764F3E">
        <w:rPr>
          <w:rFonts w:ascii="Arial" w:hAnsi="Arial" w:cs="Arial"/>
        </w:rPr>
        <w:t> </w:t>
      </w:r>
      <w:r w:rsidRPr="00764F3E">
        <w:t xml:space="preserve">– but now a bitter enemy. Among the four letters attacking </w:t>
      </w:r>
      <w:proofErr w:type="spellStart"/>
      <w:r w:rsidRPr="00764F3E">
        <w:t>Knopfelmacher</w:t>
      </w:r>
      <w:proofErr w:type="spellEnd"/>
      <w:r w:rsidRPr="00764F3E">
        <w:t xml:space="preserve"> in the September issue of </w:t>
      </w:r>
      <w:r w:rsidRPr="00764F3E">
        <w:rPr>
          <w:i/>
          <w:iCs/>
        </w:rPr>
        <w:t>Quadrant</w:t>
      </w:r>
      <w:r w:rsidRPr="00764F3E">
        <w:t xml:space="preserve">, one was from </w:t>
      </w:r>
      <w:proofErr w:type="spellStart"/>
      <w:r w:rsidRPr="00764F3E">
        <w:t>Leibler</w:t>
      </w:r>
      <w:proofErr w:type="spellEnd"/>
      <w:r w:rsidRPr="00764F3E">
        <w:t>, then the president of the Executive Council of Australian Jewry.</w:t>
      </w:r>
    </w:p>
    <w:p w14:paraId="20962FC5" w14:textId="77777777" w:rsidR="00764F3E" w:rsidRPr="00764F3E" w:rsidRDefault="00764F3E" w:rsidP="00764F3E">
      <w:proofErr w:type="spellStart"/>
      <w:r w:rsidRPr="00764F3E">
        <w:t>Leibler</w:t>
      </w:r>
      <w:proofErr w:type="spellEnd"/>
      <w:r w:rsidRPr="00764F3E">
        <w:t xml:space="preserve"> claimed that the Jewish community almost unanimously supported the war crimes legislation. He would have preferred it if it dealt with all crimes against humanity and not only those connected with the Holocaust. The claim that the Jews were seeking vengeance and not justice</w:t>
      </w:r>
      <w:r w:rsidRPr="00764F3E">
        <w:rPr>
          <w:rFonts w:ascii="Arial" w:hAnsi="Arial" w:cs="Arial"/>
        </w:rPr>
        <w:t> </w:t>
      </w:r>
      <w:r w:rsidRPr="00764F3E">
        <w:t xml:space="preserve">– something </w:t>
      </w:r>
      <w:proofErr w:type="spellStart"/>
      <w:r w:rsidRPr="00764F3E">
        <w:t>Knopfelmacher</w:t>
      </w:r>
      <w:proofErr w:type="spellEnd"/>
      <w:r w:rsidRPr="00764F3E">
        <w:t xml:space="preserve"> had never and would never have argued</w:t>
      </w:r>
      <w:r w:rsidRPr="00764F3E">
        <w:rPr>
          <w:rFonts w:ascii="Arial" w:hAnsi="Arial" w:cs="Arial"/>
        </w:rPr>
        <w:t> </w:t>
      </w:r>
      <w:r w:rsidRPr="00764F3E">
        <w:t xml:space="preserve">– was plainly anti-Semitic. </w:t>
      </w:r>
      <w:proofErr w:type="spellStart"/>
      <w:r w:rsidRPr="00764F3E">
        <w:t>Leibler</w:t>
      </w:r>
      <w:proofErr w:type="spellEnd"/>
      <w:r w:rsidRPr="00764F3E">
        <w:t xml:space="preserve"> pointed out that he had discussions with the Israeli prime minister, Yitzhak Shamir, and other political leaders three or four times a year. The question of the Australian war crimes legislation had never been discussed. He objected most strenuously to the term used by </w:t>
      </w:r>
      <w:proofErr w:type="spellStart"/>
      <w:r w:rsidRPr="00764F3E">
        <w:t>Knopfelmacher</w:t>
      </w:r>
      <w:proofErr w:type="spellEnd"/>
      <w:r w:rsidRPr="00764F3E">
        <w:t xml:space="preserve">: “pseudo ethnic </w:t>
      </w:r>
      <w:proofErr w:type="spellStart"/>
      <w:r w:rsidRPr="00764F3E">
        <w:t>fuhrers</w:t>
      </w:r>
      <w:proofErr w:type="spellEnd"/>
      <w:r w:rsidRPr="00764F3E">
        <w:t>”. “Did nobody at </w:t>
      </w:r>
      <w:r w:rsidRPr="00764F3E">
        <w:rPr>
          <w:i/>
          <w:iCs/>
        </w:rPr>
        <w:t>Quadrant</w:t>
      </w:r>
      <w:r w:rsidRPr="00764F3E">
        <w:t xml:space="preserve"> blanch at the use of such language?” </w:t>
      </w:r>
      <w:proofErr w:type="spellStart"/>
      <w:r w:rsidRPr="00764F3E">
        <w:t>Knopfelmacher’s</w:t>
      </w:r>
      <w:proofErr w:type="spellEnd"/>
      <w:r w:rsidRPr="00764F3E">
        <w:t xml:space="preserve"> letter might have been published in a journal under the “</w:t>
      </w:r>
      <w:proofErr w:type="spellStart"/>
      <w:r w:rsidRPr="00764F3E">
        <w:t>primatur</w:t>
      </w:r>
      <w:proofErr w:type="spellEnd"/>
      <w:r w:rsidRPr="00764F3E">
        <w:t xml:space="preserve">” of the Stalinist cultural commissar, Zhdanov. In addition, </w:t>
      </w:r>
      <w:proofErr w:type="spellStart"/>
      <w:r w:rsidRPr="00764F3E">
        <w:t>Leibler</w:t>
      </w:r>
      <w:proofErr w:type="spellEnd"/>
      <w:r w:rsidRPr="00764F3E">
        <w:t xml:space="preserve"> pointed out that he “fully” endorsed “the views (if not the style)” of Bill Rubinstein’s letter. And (just in case we hadn’t noticed) he was “appalled and disgusted”.</w:t>
      </w:r>
    </w:p>
    <w:p w14:paraId="3CB35F86" w14:textId="77777777" w:rsidR="00764F3E" w:rsidRPr="00764F3E" w:rsidRDefault="00764F3E" w:rsidP="00764F3E">
      <w:r w:rsidRPr="00764F3E">
        <w:t xml:space="preserve">I came under great pressure in 1989 to denounce </w:t>
      </w:r>
      <w:proofErr w:type="spellStart"/>
      <w:r w:rsidRPr="00764F3E">
        <w:t>Knopfelmacher</w:t>
      </w:r>
      <w:proofErr w:type="spellEnd"/>
      <w:r w:rsidRPr="00764F3E">
        <w:t>. I did not. I could not. I did realise, however, that I could not publish him, in his present state of mind, on American Jews or Israel, and I</w:t>
      </w:r>
      <w:r w:rsidRPr="00764F3E">
        <w:rPr>
          <w:rFonts w:ascii="Arial" w:hAnsi="Arial" w:cs="Arial"/>
        </w:rPr>
        <w:t> </w:t>
      </w:r>
      <w:r w:rsidRPr="00764F3E">
        <w:t>wrote to him that I could no longer listen to his nightly telephonic diatribes against the Jewish American conservative intelligentsia (some of whom, not long after, as neo-conservatives, were critical in leading the United States into the catastrophic Iraq invasion).</w:t>
      </w:r>
    </w:p>
    <w:p w14:paraId="4864720B" w14:textId="77777777" w:rsidR="00764F3E" w:rsidRPr="00764F3E" w:rsidRDefault="00764F3E" w:rsidP="00764F3E">
      <w:r w:rsidRPr="00764F3E">
        <w:t>On August 11, 1989, </w:t>
      </w:r>
      <w:r w:rsidRPr="00764F3E">
        <w:rPr>
          <w:i/>
          <w:iCs/>
        </w:rPr>
        <w:t>The Australian Jewish News</w:t>
      </w:r>
      <w:r w:rsidRPr="00764F3E">
        <w:t> published a</w:t>
      </w:r>
      <w:r w:rsidRPr="00764F3E">
        <w:rPr>
          <w:rFonts w:ascii="Arial" w:hAnsi="Arial" w:cs="Arial"/>
        </w:rPr>
        <w:t> </w:t>
      </w:r>
      <w:r w:rsidRPr="00764F3E">
        <w:t>4,000-word analysis of the “</w:t>
      </w:r>
      <w:r w:rsidRPr="00764F3E">
        <w:rPr>
          <w:i/>
          <w:iCs/>
        </w:rPr>
        <w:t>Quadrant Controversy</w:t>
      </w:r>
      <w:r w:rsidRPr="00764F3E">
        <w:t xml:space="preserve">” by the journalist Michael </w:t>
      </w:r>
      <w:proofErr w:type="spellStart"/>
      <w:r w:rsidRPr="00764F3E">
        <w:t>Gawenda</w:t>
      </w:r>
      <w:proofErr w:type="spellEnd"/>
      <w:r w:rsidRPr="00764F3E">
        <w:t>, a current defender of Israel’s behaviour in Gaza, that on December 1</w:t>
      </w:r>
      <w:proofErr w:type="gramStart"/>
      <w:r w:rsidRPr="00764F3E">
        <w:t xml:space="preserve"> 2024</w:t>
      </w:r>
      <w:proofErr w:type="gramEnd"/>
      <w:r w:rsidRPr="00764F3E">
        <w:t xml:space="preserve"> a former Israeli Minister of Defence, Moshe Yaalon, described with complete accuracy as involving the perpetration of war crimes and ethnic cleansing. </w:t>
      </w:r>
      <w:proofErr w:type="spellStart"/>
      <w:r w:rsidRPr="00764F3E">
        <w:t>Gawenda</w:t>
      </w:r>
      <w:proofErr w:type="spellEnd"/>
      <w:r w:rsidRPr="00764F3E">
        <w:t xml:space="preserve"> accepted the false Rubinstein claim that because I had not discussed (in an 800-word article) the difference between genocide and war crimes, I had indeed equated Hitler’s Holocaust and Hirohito’s war crimes. More importantly, he criticised me for publishing </w:t>
      </w:r>
      <w:proofErr w:type="spellStart"/>
      <w:r w:rsidRPr="00764F3E">
        <w:t>Knopfelmacher’s</w:t>
      </w:r>
      <w:proofErr w:type="spellEnd"/>
      <w:r w:rsidRPr="00764F3E">
        <w:t xml:space="preserve"> letter. The question </w:t>
      </w:r>
      <w:proofErr w:type="spellStart"/>
      <w:r w:rsidRPr="00764F3E">
        <w:t>Gawenda</w:t>
      </w:r>
      <w:proofErr w:type="spellEnd"/>
      <w:r w:rsidRPr="00764F3E">
        <w:t xml:space="preserve"> and the </w:t>
      </w:r>
      <w:r w:rsidRPr="00764F3E">
        <w:rPr>
          <w:i/>
          <w:iCs/>
        </w:rPr>
        <w:t>Jewish News</w:t>
      </w:r>
      <w:r w:rsidRPr="00764F3E">
        <w:t> now raised was whether I was leading </w:t>
      </w:r>
      <w:r w:rsidRPr="00764F3E">
        <w:rPr>
          <w:i/>
          <w:iCs/>
        </w:rPr>
        <w:t>Quadrant</w:t>
      </w:r>
      <w:r w:rsidRPr="00764F3E">
        <w:t> to anti-Semitism and the racist right?</w:t>
      </w:r>
    </w:p>
    <w:p w14:paraId="5077EC15" w14:textId="77777777" w:rsidR="00764F3E" w:rsidRPr="00764F3E" w:rsidRDefault="00764F3E" w:rsidP="00764F3E">
      <w:r w:rsidRPr="00764F3E">
        <w:t>By now I was becoming angry. In the brief space Lipski allowed for my reply, I pointed out the centrality of the Holocaust to my political thought and to my teaching for many years, and the way in which it had led, naturally, to my work on behalf of refugees from totalitarianism in our own age</w:t>
      </w:r>
      <w:r w:rsidRPr="00764F3E">
        <w:rPr>
          <w:rFonts w:ascii="Arial" w:hAnsi="Arial" w:cs="Arial"/>
        </w:rPr>
        <w:t> </w:t>
      </w:r>
      <w:r w:rsidRPr="00764F3E">
        <w:t>– the Vietnamese “boat people”.</w:t>
      </w:r>
    </w:p>
    <w:p w14:paraId="23A8C489" w14:textId="77777777" w:rsidR="00764F3E" w:rsidRPr="00764F3E" w:rsidRDefault="00764F3E" w:rsidP="00764F3E">
      <w:r w:rsidRPr="00764F3E">
        <w:t xml:space="preserve">On August 25, Rubinstein and </w:t>
      </w:r>
      <w:proofErr w:type="spellStart"/>
      <w:r w:rsidRPr="00764F3E">
        <w:t>Leibler</w:t>
      </w:r>
      <w:proofErr w:type="spellEnd"/>
      <w:r w:rsidRPr="00764F3E">
        <w:t xml:space="preserve"> were given the last words in the</w:t>
      </w:r>
      <w:r w:rsidRPr="00764F3E">
        <w:rPr>
          <w:i/>
          <w:iCs/>
        </w:rPr>
        <w:t> Jewish News</w:t>
      </w:r>
      <w:r w:rsidRPr="00764F3E">
        <w:t xml:space="preserve">. </w:t>
      </w:r>
      <w:proofErr w:type="spellStart"/>
      <w:r w:rsidRPr="00764F3E">
        <w:t>Leibler</w:t>
      </w:r>
      <w:proofErr w:type="spellEnd"/>
      <w:r w:rsidRPr="00764F3E">
        <w:t xml:space="preserve"> made it clear that it was I who was leading </w:t>
      </w:r>
      <w:r w:rsidRPr="00764F3E">
        <w:rPr>
          <w:i/>
          <w:iCs/>
        </w:rPr>
        <w:t>Quadrant</w:t>
      </w:r>
      <w:r w:rsidRPr="00764F3E">
        <w:t> to the racist right. He had known Coleman for many years and had “the highest regard” for him: “Manne’s co-</w:t>
      </w:r>
      <w:r w:rsidRPr="00764F3E">
        <w:lastRenderedPageBreak/>
        <w:t>editor</w:t>
      </w:r>
      <w:r w:rsidRPr="00764F3E">
        <w:rPr>
          <w:rFonts w:ascii="Arial" w:hAnsi="Arial" w:cs="Arial"/>
        </w:rPr>
        <w:t> </w:t>
      </w:r>
      <w:r w:rsidRPr="00764F3E">
        <w:t>… is a man who could not conceivably be regarded as harbouring any trace of antisemitism or racial prejudice.”</w:t>
      </w:r>
    </w:p>
    <w:p w14:paraId="1C888C9F" w14:textId="77777777" w:rsidR="00764F3E" w:rsidRPr="00764F3E" w:rsidRDefault="00764F3E" w:rsidP="00764F3E">
      <w:r w:rsidRPr="00764F3E">
        <w:t xml:space="preserve">Shortly after, </w:t>
      </w:r>
      <w:proofErr w:type="spellStart"/>
      <w:r w:rsidRPr="00764F3E">
        <w:t>Leibler</w:t>
      </w:r>
      <w:proofErr w:type="spellEnd"/>
      <w:r w:rsidRPr="00764F3E">
        <w:t xml:space="preserve"> and Rubinstein achieved their greatest success. Without interviewing me or even reading the relevant articles in </w:t>
      </w:r>
      <w:r w:rsidRPr="00764F3E">
        <w:rPr>
          <w:i/>
          <w:iCs/>
        </w:rPr>
        <w:t>Quadrant</w:t>
      </w:r>
      <w:r w:rsidRPr="00764F3E">
        <w:t>, the journalist, Pamela Bone, wrote an article in </w:t>
      </w:r>
      <w:r w:rsidRPr="00764F3E">
        <w:rPr>
          <w:i/>
          <w:iCs/>
        </w:rPr>
        <w:t>The Age</w:t>
      </w:r>
      <w:r w:rsidRPr="00764F3E">
        <w:t> that suggested my co-editorship of </w:t>
      </w:r>
      <w:r w:rsidRPr="00764F3E">
        <w:rPr>
          <w:i/>
          <w:iCs/>
        </w:rPr>
        <w:t>Quadrant</w:t>
      </w:r>
      <w:r w:rsidRPr="00764F3E">
        <w:t> was a sign that racism in Australia was once again on the rise.</w:t>
      </w:r>
    </w:p>
    <w:p w14:paraId="3D8762DD" w14:textId="77777777" w:rsidR="00764F3E" w:rsidRPr="00764F3E" w:rsidRDefault="00764F3E" w:rsidP="00764F3E">
      <w:r w:rsidRPr="00764F3E">
        <w:t xml:space="preserve">In his attack on </w:t>
      </w:r>
      <w:proofErr w:type="spellStart"/>
      <w:r w:rsidRPr="00764F3E">
        <w:t>Knopfelmacher</w:t>
      </w:r>
      <w:proofErr w:type="spellEnd"/>
      <w:r w:rsidRPr="00764F3E">
        <w:t xml:space="preserve"> and then me, there was one detail of relevance concerning his relations with Israeli leaders that </w:t>
      </w:r>
      <w:proofErr w:type="spellStart"/>
      <w:r w:rsidRPr="00764F3E">
        <w:t>Leibler</w:t>
      </w:r>
      <w:proofErr w:type="spellEnd"/>
      <w:r w:rsidRPr="00764F3E">
        <w:t xml:space="preserve"> omitted. </w:t>
      </w:r>
      <w:proofErr w:type="spellStart"/>
      <w:r w:rsidRPr="00764F3E">
        <w:t>Leibler</w:t>
      </w:r>
      <w:proofErr w:type="spellEnd"/>
      <w:r w:rsidRPr="00764F3E">
        <w:t xml:space="preserve"> argued that </w:t>
      </w:r>
      <w:proofErr w:type="spellStart"/>
      <w:r w:rsidRPr="00764F3E">
        <w:t>Knopfelmacher’s</w:t>
      </w:r>
      <w:proofErr w:type="spellEnd"/>
      <w:r w:rsidRPr="00764F3E">
        <w:t xml:space="preserve"> claim that some of Australia’s Jewish leaders had “dual loyalties” was plainly anti-Semitic. As </w:t>
      </w:r>
      <w:r w:rsidRPr="00764F3E">
        <w:rPr>
          <w:i/>
          <w:iCs/>
        </w:rPr>
        <w:t>Lone Voice</w:t>
      </w:r>
      <w:r w:rsidRPr="00764F3E">
        <w:t xml:space="preserve">, Suzanne Rutland’s 2021 highly sympathetic biography of Isi </w:t>
      </w:r>
      <w:proofErr w:type="spellStart"/>
      <w:r w:rsidRPr="00764F3E">
        <w:t>Leibler</w:t>
      </w:r>
      <w:proofErr w:type="spellEnd"/>
      <w:r w:rsidRPr="00764F3E">
        <w:t xml:space="preserve"> reveals, however, while he was the most prominent leader of the Jewish community in Australia, since 1959 </w:t>
      </w:r>
      <w:proofErr w:type="spellStart"/>
      <w:r w:rsidRPr="00764F3E">
        <w:t>Leibler</w:t>
      </w:r>
      <w:proofErr w:type="spellEnd"/>
      <w:r w:rsidRPr="00764F3E">
        <w:t xml:space="preserve"> had indeed worked for Israeli intelligence, following a</w:t>
      </w:r>
      <w:r w:rsidRPr="00764F3E">
        <w:rPr>
          <w:rFonts w:ascii="Arial" w:hAnsi="Arial" w:cs="Arial"/>
        </w:rPr>
        <w:t> </w:t>
      </w:r>
      <w:r w:rsidRPr="00764F3E">
        <w:t xml:space="preserve">“transformative meeting” with “the legendary Israeli spymaster” Shaul </w:t>
      </w:r>
      <w:proofErr w:type="spellStart"/>
      <w:r w:rsidRPr="00764F3E">
        <w:t>Avigur</w:t>
      </w:r>
      <w:proofErr w:type="spellEnd"/>
      <w:r w:rsidRPr="00764F3E">
        <w:t>.</w:t>
      </w:r>
    </w:p>
    <w:p w14:paraId="0DE88D7B" w14:textId="77777777" w:rsidR="00764F3E" w:rsidRPr="00764F3E" w:rsidRDefault="00764F3E" w:rsidP="00764F3E">
      <w:r w:rsidRPr="00764F3E">
        <w:t>According to Rutland, </w:t>
      </w:r>
      <w:r w:rsidRPr="00764F3E">
        <w:rPr>
          <w:i/>
          <w:iCs/>
        </w:rPr>
        <w:t>for decades</w:t>
      </w:r>
      <w:r w:rsidRPr="00764F3E">
        <w:t> </w:t>
      </w:r>
      <w:proofErr w:type="spellStart"/>
      <w:r w:rsidRPr="00764F3E">
        <w:t>Leibler</w:t>
      </w:r>
      <w:proofErr w:type="spellEnd"/>
      <w:r w:rsidRPr="00764F3E">
        <w:t xml:space="preserve"> “acted unofficially </w:t>
      </w:r>
      <w:r w:rsidRPr="00764F3E">
        <w:rPr>
          <w:i/>
          <w:iCs/>
        </w:rPr>
        <w:t xml:space="preserve">under instructions from </w:t>
      </w:r>
      <w:proofErr w:type="spellStart"/>
      <w:r w:rsidRPr="00764F3E">
        <w:rPr>
          <w:i/>
          <w:iCs/>
        </w:rPr>
        <w:t>Avigur</w:t>
      </w:r>
      <w:proofErr w:type="spellEnd"/>
      <w:r w:rsidRPr="00764F3E">
        <w:rPr>
          <w:i/>
          <w:iCs/>
        </w:rPr>
        <w:t xml:space="preserve"> and </w:t>
      </w:r>
      <w:proofErr w:type="spellStart"/>
      <w:r w:rsidRPr="00764F3E">
        <w:rPr>
          <w:i/>
          <w:iCs/>
        </w:rPr>
        <w:t>Levanon</w:t>
      </w:r>
      <w:proofErr w:type="spellEnd"/>
      <w:r w:rsidRPr="00764F3E">
        <w:t> [another senior member of Israeli intelligence], </w:t>
      </w:r>
      <w:r w:rsidRPr="00764F3E">
        <w:rPr>
          <w:i/>
          <w:iCs/>
        </w:rPr>
        <w:t>becoming a de facto operative for Israel on foreign affairs</w:t>
      </w:r>
      <w:r w:rsidRPr="00764F3E">
        <w:t> [my emphasis]</w:t>
      </w:r>
      <w:r w:rsidRPr="00764F3E">
        <w:rPr>
          <w:rFonts w:ascii="Arial" w:hAnsi="Arial" w:cs="Arial"/>
          <w:i/>
          <w:iCs/>
        </w:rPr>
        <w:t> </w:t>
      </w:r>
      <w:r w:rsidRPr="00764F3E">
        <w:t>… Notably, unlike its American and British counterparts, Australian Jewry remained closely aligned with Israeli government priorities.”</w:t>
      </w:r>
    </w:p>
    <w:p w14:paraId="2D886F51" w14:textId="77777777" w:rsidR="00764F3E" w:rsidRPr="00764F3E" w:rsidRDefault="00764F3E" w:rsidP="00764F3E">
      <w:r w:rsidRPr="00764F3E">
        <w:t>With the publication of Rutland’s </w:t>
      </w:r>
      <w:r w:rsidRPr="00764F3E">
        <w:rPr>
          <w:i/>
          <w:iCs/>
        </w:rPr>
        <w:t xml:space="preserve">Lone </w:t>
      </w:r>
      <w:proofErr w:type="gramStart"/>
      <w:r w:rsidRPr="00764F3E">
        <w:rPr>
          <w:i/>
          <w:iCs/>
        </w:rPr>
        <w:t>Voice</w:t>
      </w:r>
      <w:proofErr w:type="gramEnd"/>
      <w:r w:rsidRPr="00764F3E">
        <w:rPr>
          <w:i/>
          <w:iCs/>
        </w:rPr>
        <w:t> </w:t>
      </w:r>
      <w:r w:rsidRPr="00764F3E">
        <w:t xml:space="preserve">it became clear, to my considerable surprise, that the man who dominated Jewish politics in Australia for several decades, who had accused me of racism and </w:t>
      </w:r>
      <w:proofErr w:type="spellStart"/>
      <w:r w:rsidRPr="00764F3E">
        <w:t>anti-semitism</w:t>
      </w:r>
      <w:proofErr w:type="spellEnd"/>
      <w:r w:rsidRPr="00764F3E">
        <w:t xml:space="preserve">, was a covert agent of Israeli intelligence, as </w:t>
      </w:r>
      <w:proofErr w:type="spellStart"/>
      <w:r w:rsidRPr="00764F3E">
        <w:t>Knopfelmacher</w:t>
      </w:r>
      <w:proofErr w:type="spellEnd"/>
      <w:r w:rsidRPr="00764F3E">
        <w:t xml:space="preserve"> had claimed.</w:t>
      </w:r>
    </w:p>
    <w:p w14:paraId="662342C7" w14:textId="77777777" w:rsidR="00764F3E" w:rsidRPr="00764F3E" w:rsidRDefault="00764F3E" w:rsidP="00764F3E">
      <w:r w:rsidRPr="00764F3E">
        <w:rPr>
          <w:i/>
          <w:iCs/>
        </w:rPr>
        <w:t>This is an edited and updated extract from Robert Manne, A Political Memoir: Intellectual Combat in the Cold war and the Culture Wars (La Trobe University Press).</w:t>
      </w:r>
    </w:p>
    <w:p w14:paraId="0703C116" w14:textId="77777777" w:rsidR="00764F3E" w:rsidRDefault="00764F3E"/>
    <w:sectPr w:rsidR="00764F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F3E"/>
    <w:rsid w:val="00295783"/>
    <w:rsid w:val="00711966"/>
    <w:rsid w:val="00764F3E"/>
    <w:rsid w:val="008D6671"/>
    <w:rsid w:val="00B17C0E"/>
    <w:rsid w:val="00C263B4"/>
    <w:rsid w:val="00EA6A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9F60D37"/>
  <w15:chartTrackingRefBased/>
  <w15:docId w15:val="{EE03A90E-E1CD-554F-9087-799FBD089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4F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4F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4F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4F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4F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4F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F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F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F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F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F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F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F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F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F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F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F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F3E"/>
    <w:rPr>
      <w:rFonts w:eastAsiaTheme="majorEastAsia" w:cstheme="majorBidi"/>
      <w:color w:val="272727" w:themeColor="text1" w:themeTint="D8"/>
    </w:rPr>
  </w:style>
  <w:style w:type="paragraph" w:styleId="Title">
    <w:name w:val="Title"/>
    <w:basedOn w:val="Normal"/>
    <w:next w:val="Normal"/>
    <w:link w:val="TitleChar"/>
    <w:uiPriority w:val="10"/>
    <w:qFormat/>
    <w:rsid w:val="00764F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F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F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F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4F3E"/>
    <w:rPr>
      <w:i/>
      <w:iCs/>
      <w:color w:val="404040" w:themeColor="text1" w:themeTint="BF"/>
    </w:rPr>
  </w:style>
  <w:style w:type="paragraph" w:styleId="ListParagraph">
    <w:name w:val="List Paragraph"/>
    <w:basedOn w:val="Normal"/>
    <w:uiPriority w:val="34"/>
    <w:qFormat/>
    <w:rsid w:val="00764F3E"/>
    <w:pPr>
      <w:ind w:left="720"/>
      <w:contextualSpacing/>
    </w:pPr>
  </w:style>
  <w:style w:type="character" w:styleId="IntenseEmphasis">
    <w:name w:val="Intense Emphasis"/>
    <w:basedOn w:val="DefaultParagraphFont"/>
    <w:uiPriority w:val="21"/>
    <w:qFormat/>
    <w:rsid w:val="00764F3E"/>
    <w:rPr>
      <w:i/>
      <w:iCs/>
      <w:color w:val="0F4761" w:themeColor="accent1" w:themeShade="BF"/>
    </w:rPr>
  </w:style>
  <w:style w:type="paragraph" w:styleId="IntenseQuote">
    <w:name w:val="Intense Quote"/>
    <w:basedOn w:val="Normal"/>
    <w:next w:val="Normal"/>
    <w:link w:val="IntenseQuoteChar"/>
    <w:uiPriority w:val="30"/>
    <w:qFormat/>
    <w:rsid w:val="00764F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4F3E"/>
    <w:rPr>
      <w:i/>
      <w:iCs/>
      <w:color w:val="0F4761" w:themeColor="accent1" w:themeShade="BF"/>
    </w:rPr>
  </w:style>
  <w:style w:type="character" w:styleId="IntenseReference">
    <w:name w:val="Intense Reference"/>
    <w:basedOn w:val="DefaultParagraphFont"/>
    <w:uiPriority w:val="32"/>
    <w:qFormat/>
    <w:rsid w:val="00764F3E"/>
    <w:rPr>
      <w:b/>
      <w:bCs/>
      <w:smallCaps/>
      <w:color w:val="0F4761" w:themeColor="accent1" w:themeShade="BF"/>
      <w:spacing w:val="5"/>
    </w:rPr>
  </w:style>
  <w:style w:type="character" w:styleId="Hyperlink">
    <w:name w:val="Hyperlink"/>
    <w:basedOn w:val="DefaultParagraphFont"/>
    <w:uiPriority w:val="99"/>
    <w:unhideWhenUsed/>
    <w:rsid w:val="00764F3E"/>
    <w:rPr>
      <w:color w:val="467886" w:themeColor="hyperlink"/>
      <w:u w:val="single"/>
    </w:rPr>
  </w:style>
  <w:style w:type="character" w:styleId="UnresolvedMention">
    <w:name w:val="Unresolved Mention"/>
    <w:basedOn w:val="DefaultParagraphFont"/>
    <w:uiPriority w:val="99"/>
    <w:semiHidden/>
    <w:unhideWhenUsed/>
    <w:rsid w:val="00764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770205">
      <w:bodyDiv w:val="1"/>
      <w:marLeft w:val="0"/>
      <w:marRight w:val="0"/>
      <w:marTop w:val="0"/>
      <w:marBottom w:val="0"/>
      <w:divBdr>
        <w:top w:val="none" w:sz="0" w:space="0" w:color="auto"/>
        <w:left w:val="none" w:sz="0" w:space="0" w:color="auto"/>
        <w:bottom w:val="none" w:sz="0" w:space="0" w:color="auto"/>
        <w:right w:val="none" w:sz="0" w:space="0" w:color="auto"/>
      </w:divBdr>
      <w:divsChild>
        <w:div w:id="1852255285">
          <w:marLeft w:val="0"/>
          <w:marRight w:val="0"/>
          <w:marTop w:val="0"/>
          <w:marBottom w:val="180"/>
          <w:divBdr>
            <w:top w:val="none" w:sz="0" w:space="0" w:color="auto"/>
            <w:left w:val="none" w:sz="0" w:space="0" w:color="auto"/>
            <w:bottom w:val="none" w:sz="0" w:space="0" w:color="auto"/>
            <w:right w:val="none" w:sz="0" w:space="0" w:color="auto"/>
          </w:divBdr>
        </w:div>
        <w:div w:id="170950392">
          <w:marLeft w:val="-225"/>
          <w:marRight w:val="-225"/>
          <w:marTop w:val="0"/>
          <w:marBottom w:val="0"/>
          <w:divBdr>
            <w:top w:val="none" w:sz="0" w:space="0" w:color="auto"/>
            <w:left w:val="none" w:sz="0" w:space="0" w:color="auto"/>
            <w:bottom w:val="none" w:sz="0" w:space="0" w:color="auto"/>
            <w:right w:val="none" w:sz="0" w:space="0" w:color="auto"/>
          </w:divBdr>
          <w:divsChild>
            <w:div w:id="1693411929">
              <w:marLeft w:val="0"/>
              <w:marRight w:val="0"/>
              <w:marTop w:val="0"/>
              <w:marBottom w:val="0"/>
              <w:divBdr>
                <w:top w:val="none" w:sz="0" w:space="0" w:color="auto"/>
                <w:left w:val="none" w:sz="0" w:space="0" w:color="auto"/>
                <w:bottom w:val="none" w:sz="0" w:space="0" w:color="auto"/>
                <w:right w:val="none" w:sz="0" w:space="0" w:color="auto"/>
              </w:divBdr>
              <w:divsChild>
                <w:div w:id="1661075966">
                  <w:marLeft w:val="0"/>
                  <w:marRight w:val="0"/>
                  <w:marTop w:val="0"/>
                  <w:marBottom w:val="0"/>
                  <w:divBdr>
                    <w:top w:val="none" w:sz="0" w:space="0" w:color="auto"/>
                    <w:left w:val="none" w:sz="0" w:space="0" w:color="auto"/>
                    <w:bottom w:val="none" w:sz="0" w:space="0" w:color="auto"/>
                    <w:right w:val="none" w:sz="0" w:space="0" w:color="auto"/>
                  </w:divBdr>
                  <w:divsChild>
                    <w:div w:id="340815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96218311">
      <w:bodyDiv w:val="1"/>
      <w:marLeft w:val="0"/>
      <w:marRight w:val="0"/>
      <w:marTop w:val="0"/>
      <w:marBottom w:val="0"/>
      <w:divBdr>
        <w:top w:val="none" w:sz="0" w:space="0" w:color="auto"/>
        <w:left w:val="none" w:sz="0" w:space="0" w:color="auto"/>
        <w:bottom w:val="none" w:sz="0" w:space="0" w:color="auto"/>
        <w:right w:val="none" w:sz="0" w:space="0" w:color="auto"/>
      </w:divBdr>
      <w:divsChild>
        <w:div w:id="957026587">
          <w:marLeft w:val="0"/>
          <w:marRight w:val="0"/>
          <w:marTop w:val="0"/>
          <w:marBottom w:val="180"/>
          <w:divBdr>
            <w:top w:val="none" w:sz="0" w:space="0" w:color="auto"/>
            <w:left w:val="none" w:sz="0" w:space="0" w:color="auto"/>
            <w:bottom w:val="none" w:sz="0" w:space="0" w:color="auto"/>
            <w:right w:val="none" w:sz="0" w:space="0" w:color="auto"/>
          </w:divBdr>
        </w:div>
        <w:div w:id="1762680654">
          <w:marLeft w:val="-225"/>
          <w:marRight w:val="-225"/>
          <w:marTop w:val="0"/>
          <w:marBottom w:val="0"/>
          <w:divBdr>
            <w:top w:val="none" w:sz="0" w:space="0" w:color="auto"/>
            <w:left w:val="none" w:sz="0" w:space="0" w:color="auto"/>
            <w:bottom w:val="none" w:sz="0" w:space="0" w:color="auto"/>
            <w:right w:val="none" w:sz="0" w:space="0" w:color="auto"/>
          </w:divBdr>
          <w:divsChild>
            <w:div w:id="411898977">
              <w:marLeft w:val="0"/>
              <w:marRight w:val="0"/>
              <w:marTop w:val="0"/>
              <w:marBottom w:val="0"/>
              <w:divBdr>
                <w:top w:val="none" w:sz="0" w:space="0" w:color="auto"/>
                <w:left w:val="none" w:sz="0" w:space="0" w:color="auto"/>
                <w:bottom w:val="none" w:sz="0" w:space="0" w:color="auto"/>
                <w:right w:val="none" w:sz="0" w:space="0" w:color="auto"/>
              </w:divBdr>
              <w:divsChild>
                <w:div w:id="1876691432">
                  <w:marLeft w:val="0"/>
                  <w:marRight w:val="0"/>
                  <w:marTop w:val="0"/>
                  <w:marBottom w:val="0"/>
                  <w:divBdr>
                    <w:top w:val="none" w:sz="0" w:space="0" w:color="auto"/>
                    <w:left w:val="none" w:sz="0" w:space="0" w:color="auto"/>
                    <w:bottom w:val="none" w:sz="0" w:space="0" w:color="auto"/>
                    <w:right w:val="none" w:sz="0" w:space="0" w:color="auto"/>
                  </w:divBdr>
                  <w:divsChild>
                    <w:div w:id="1456409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johnmenadue.com/category/topfiv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hnmenadue.com/category/politics/" TargetMode="External"/><Relationship Id="rId5" Type="http://schemas.openxmlformats.org/officeDocument/2006/relationships/hyperlink" Target="https://johnmenadue.com/category/public-policy/media/" TargetMode="External"/><Relationship Id="rId10" Type="http://schemas.openxmlformats.org/officeDocument/2006/relationships/theme" Target="theme/theme1.xml"/><Relationship Id="rId4" Type="http://schemas.openxmlformats.org/officeDocument/2006/relationships/hyperlink" Target="https://johnmenadue.com/category/australian-foreign-policy/"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1686</Words>
  <Characters>9614</Characters>
  <Application>Microsoft Office Word</Application>
  <DocSecurity>0</DocSecurity>
  <Lines>80</Lines>
  <Paragraphs>22</Paragraphs>
  <ScaleCrop>false</ScaleCrop>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Rutland</dc:creator>
  <cp:keywords/>
  <dc:description/>
  <cp:lastModifiedBy>Suzanne Rutland</cp:lastModifiedBy>
  <cp:revision>1</cp:revision>
  <dcterms:created xsi:type="dcterms:W3CDTF">2024-12-07T17:31:00Z</dcterms:created>
  <dcterms:modified xsi:type="dcterms:W3CDTF">2024-12-07T17:34:00Z</dcterms:modified>
</cp:coreProperties>
</file>