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8AC9C" w14:textId="77777777" w:rsidR="003F54EE" w:rsidRPr="007229C3" w:rsidRDefault="003F54EE" w:rsidP="003F54EE">
      <w:pPr>
        <w:pStyle w:val="Title"/>
        <w:jc w:val="both"/>
      </w:pPr>
      <w:r w:rsidRPr="00514677">
        <w:t>The</w:t>
      </w:r>
      <w:r>
        <w:t xml:space="preserve"> Australian Nazi War Crimes Trials – “A failed experiment.”</w:t>
      </w:r>
    </w:p>
    <w:p w14:paraId="1F62DE00" w14:textId="77777777" w:rsidR="003F54EE" w:rsidRDefault="003F54EE" w:rsidP="003F54EE">
      <w:pPr>
        <w:jc w:val="both"/>
      </w:pPr>
    </w:p>
    <w:p w14:paraId="2EEB6D42" w14:textId="77777777" w:rsidR="003F54EE" w:rsidRPr="00E95CF3" w:rsidRDefault="003F54EE" w:rsidP="003F54EE">
      <w:pPr>
        <w:jc w:val="both"/>
        <w:rPr>
          <w:sz w:val="32"/>
          <w:szCs w:val="32"/>
        </w:rPr>
      </w:pPr>
      <w:r w:rsidRPr="00E95CF3">
        <w:rPr>
          <w:sz w:val="32"/>
          <w:szCs w:val="32"/>
        </w:rPr>
        <w:t>Grant Niemann</w:t>
      </w:r>
    </w:p>
    <w:p w14:paraId="18CB4CDA" w14:textId="77777777" w:rsidR="003F54EE" w:rsidRDefault="003F54EE" w:rsidP="003F54EE">
      <w:pPr>
        <w:pStyle w:val="Heading1"/>
        <w:jc w:val="both"/>
      </w:pPr>
      <w:r>
        <w:t xml:space="preserve">Part 1: Introduction. </w:t>
      </w:r>
    </w:p>
    <w:p w14:paraId="4A5012CC" w14:textId="77777777" w:rsidR="003F54EE" w:rsidRDefault="003F54EE" w:rsidP="003F54EE">
      <w:pPr>
        <w:jc w:val="both"/>
      </w:pPr>
    </w:p>
    <w:p w14:paraId="7CEE0083" w14:textId="77777777" w:rsidR="003F54EE" w:rsidRDefault="003F54EE" w:rsidP="003F54EE">
      <w:pPr>
        <w:jc w:val="both"/>
      </w:pPr>
      <w:r>
        <w:t xml:space="preserve">The Australian Nazi War crimes trials process was a failure. The investigators and prosecutors that worked tirelessly on these trials did so with dedication and professionalism and in no way was this failure attributable to them. The failure was structural, the causes lie deep in our democratic ideals and freedoms and </w:t>
      </w:r>
      <w:r w:rsidRPr="002956A2">
        <w:t>arguably</w:t>
      </w:r>
      <w:r>
        <w:t xml:space="preserve"> the trials could never have been successful.  In this Chapter I seek to explore the causes for this failure and argue that ultimately the failure was a vindication of the higher democratic principles that we aspire to maintain.    </w:t>
      </w:r>
    </w:p>
    <w:p w14:paraId="51968AB7" w14:textId="77777777" w:rsidR="003F54EE" w:rsidRDefault="003F54EE" w:rsidP="003F54EE">
      <w:pPr>
        <w:pStyle w:val="Heading1"/>
        <w:jc w:val="both"/>
      </w:pPr>
      <w:r>
        <w:t xml:space="preserve">Part 2: Populate or perish: “What war criminals?” </w:t>
      </w:r>
    </w:p>
    <w:p w14:paraId="17546254" w14:textId="77777777" w:rsidR="003F54EE" w:rsidRDefault="003F54EE" w:rsidP="003F54EE">
      <w:pPr>
        <w:jc w:val="both"/>
      </w:pPr>
    </w:p>
    <w:p w14:paraId="1B4CEDCF" w14:textId="77777777" w:rsidR="003F54EE" w:rsidRDefault="003F54EE" w:rsidP="003F54EE">
      <w:pPr>
        <w:jc w:val="both"/>
      </w:pPr>
      <w:r>
        <w:t>Other contributors to this book have also discussed how it happened that alleged ‘war criminals’ from the European theatre of the Second World War happened to end up in Australia. In part the unprecedented immigration program carrying the catchcry ‘Populate or perish’</w:t>
      </w:r>
      <w:r w:rsidRPr="00194FD3">
        <w:t xml:space="preserve"> </w:t>
      </w:r>
      <w:r>
        <w:t xml:space="preserve">of the post War Chifley Labor Government of the time, certainly contributed to this outcome. Immigration Minister, Arthur Calwell believed that a larger population would protect a future Australia from further threats of invasion from a hostile power, such that had just been experienced from Imperial Japan. </w:t>
      </w:r>
    </w:p>
    <w:p w14:paraId="714BE800" w14:textId="77777777" w:rsidR="003F54EE" w:rsidRDefault="003F54EE" w:rsidP="003F54EE">
      <w:pPr>
        <w:jc w:val="both"/>
      </w:pPr>
      <w:r>
        <w:t xml:space="preserve">Prior to the Second World War the Australian community favoured a majority British based population that saw Australia as an outpost of the UK. While peoples from other countries had made Australia their home, the majority favoured immigration from ‘mother’ Britain. The ‘white Australia’ policy was in full swing. In order to broaden the demographic mix, an insular Australia had to be educated to accept sharing their country with peoples from very different social, economic, cultural and linguist backgrounds. This re-education process was no easy task but even the most ambitious immigration project could not countenance incorporation of peoples who did not fit the ‘White Australia Policy’. However, even with peoples from Europe, the inherent Australian xenophobia of the time preferred peoples with fair skin and blond hair meaning predominately northern Europeans. While this type of complexion may have fitted nicely with many of the peoples of the United Kingdom, especially the Scottish, it also aligned coincidentally with Hitler’s concept of the Aryan master race. Hence when Australian immigration officials set off to post-war Europe to recruit ‘suitable’ immigrants they were instructed by their superiors to favour people fitting this ‘fair skinned’ </w:t>
      </w:r>
      <w:r w:rsidRPr="00FF6F51">
        <w:t>complexion</w:t>
      </w:r>
      <w:r>
        <w:t xml:space="preserve">. </w:t>
      </w:r>
    </w:p>
    <w:p w14:paraId="081044FC" w14:textId="77777777" w:rsidR="003F54EE" w:rsidRDefault="003F54EE" w:rsidP="003F54EE">
      <w:pPr>
        <w:jc w:val="both"/>
      </w:pPr>
      <w:r>
        <w:t xml:space="preserve">At the time, post-World War II Europe was in chaos. Thousands of refugees had flooded into a collapsed Germany. Moving these refugees to safer countries became an international imperative necessary in order to avoid an impending humanitarian disaster. Counties such as USA, Canada, UK and Australia (along with many others) were encouraged to ‘do their part’. Fortunately for Australia this suited its domestic immigration objective. Unfortunately, Australia was ill prepared to undertake such a major immigration program in such a short timeframe. </w:t>
      </w:r>
      <w:r w:rsidRPr="00984D75">
        <w:t xml:space="preserve">Australia’s intelligence apparatus was </w:t>
      </w:r>
      <w:r w:rsidRPr="00984D75">
        <w:lastRenderedPageBreak/>
        <w:t xml:space="preserve">geared for war, not for dealing with the intricacies of post war European reconstruction, especially when it came to separating ‘potential Nazi war criminals’ from genuine refugees. </w:t>
      </w:r>
      <w:r w:rsidR="006927F7" w:rsidRPr="00984D75">
        <w:t>Australia’s first “professional” intelligence service, ASIO, which was set up in 1949, was probably no better equipped.</w:t>
      </w:r>
    </w:p>
    <w:p w14:paraId="73332A1F" w14:textId="77777777" w:rsidR="003F54EE" w:rsidRDefault="003F54EE" w:rsidP="003F54EE">
      <w:pPr>
        <w:jc w:val="both"/>
      </w:pPr>
      <w:r>
        <w:t xml:space="preserve">The Americans and British were more adept at identifying potential Nazi war criminals than Australia, although some of these suspects even eluded their more rigorous screening process. </w:t>
      </w:r>
      <w:r w:rsidRPr="00984D75">
        <w:t>Hence for the most part the savvy former Nazi operatives were cautious not to engage with the UK</w:t>
      </w:r>
      <w:r>
        <w:t xml:space="preserve"> or USA immigration officials but selected the less sophisticated Australian immigration recruiters in order to seek safe passage out of war-torn Europe. This then explains why at least some alleged Nazi war criminals ended up living in Australia.</w:t>
      </w:r>
      <w:r w:rsidRPr="00776907">
        <w:t xml:space="preserve"> </w:t>
      </w:r>
    </w:p>
    <w:p w14:paraId="0CE3D868" w14:textId="77777777" w:rsidR="00D4319C" w:rsidRDefault="003F54EE" w:rsidP="003F54EE">
      <w:pPr>
        <w:jc w:val="both"/>
      </w:pPr>
      <w:r>
        <w:t>Generations before World War II, people with ethnic German backgrounds had made South Australia their home. Iconic settlements such as the Barossa Valley and Hahndorf are testament to this early German migration wave. Whether potential Nazi war criminals chose South Australia deliberately because of this is unknown but certainly the Special Investigations Unit (SIU</w:t>
      </w:r>
      <w:r w:rsidRPr="00984D75">
        <w:t>)</w:t>
      </w:r>
      <w:r w:rsidR="00D4319C" w:rsidRPr="00984D75">
        <w:t>, after investigating suspects from all States within Australia, recommended only four prosecutions to the DPP, of which only three proceeded to indictment.  Those three persons lived in South Australia.”</w:t>
      </w:r>
    </w:p>
    <w:p w14:paraId="1BF1CC0D" w14:textId="77777777" w:rsidR="003F54EE" w:rsidRDefault="003F54EE" w:rsidP="003F54EE">
      <w:pPr>
        <w:jc w:val="both"/>
      </w:pPr>
      <w:r>
        <w:t xml:space="preserve">The targets living in Australia had quietly blended into their respective communities living law abiding lives and leaving no trace of their war time activities. Their neighbours and associates knew little or nothing of their past. However, this ignorance was not shared by all, especially ASIO and some Jewish victims, who subsequently became aware of their presence. ASIO files opened in the 1950’s and 60’s contained accurate details of these suspects. Once opened these files continued to be maintained right up to the time that the SIU carried out its investigative work. The question that might be asked is that “if ASIO knew of these suspect … why not the Australian Government?”  The answer is simple, “it did”.  </w:t>
      </w:r>
    </w:p>
    <w:p w14:paraId="262DC007" w14:textId="77777777" w:rsidR="003F54EE" w:rsidRDefault="003F54EE" w:rsidP="003F54EE">
      <w:pPr>
        <w:jc w:val="both"/>
      </w:pPr>
      <w:r>
        <w:t xml:space="preserve">The next question that could be asked is that “..if the Australian Government knew about the presence of these alleged Nazi war criminals in the 1960’s then why did it take until the 1980’s for something to be done about it?” The answer is “political”. Australia in the post war years especially in the 1960’s and 70’s no longer focussed on fascism but the evil of communism. The immigration program started by Labor was carried on by the succeeding Coalition Government. Government officials who had gone all out to attract immigration to address the perceived population deficit were not about to admit failings with their program simply because a few immigrants had slipped the net and were undesirable because they had been a ‘little too close’ to the former Nazi Regime of Germany. The war was over, it was ‘time to move on’. These potential war criminals were of little concern provided they behaved themselves and kept a low profile, which for the most part they did.  Hence reports from ASIO that they had identified potential NAZI war criminals in Australia were largely ignored. This climate of denial continued right up until the 1980’s. </w:t>
      </w:r>
    </w:p>
    <w:p w14:paraId="442C93F3" w14:textId="77777777" w:rsidR="003F54EE" w:rsidRDefault="003F54EE" w:rsidP="003F54EE">
      <w:pPr>
        <w:jc w:val="both"/>
      </w:pPr>
      <w:r>
        <w:t xml:space="preserve">This failure to act was not limited to Australia. Alleged Nazi war criminals had also been identified in other countries such as the US; UK; Canada as well as Australia. Even though Governments may have failed to act, the same cannot be said for the victims. Organisation led by various Jewish activists including the indefatigable campaigner, Simon Wiesenthal, tracked down these suspects and in cooperation with the Israeli Government, pressured ‘sanctuary’ Governments around the world to act. At a local level, the Australian Government was also influenced by an ABC radio series presented by Mark Aarons. The Australian Government was not immune from this international and local pressure and during the 1980’s the Government of Robert Hawke was eventually persuaded to take appropriate action. Politically, taking action against potential right-wing Nazi war criminals also </w:t>
      </w:r>
      <w:r>
        <w:lastRenderedPageBreak/>
        <w:t xml:space="preserve">caused the Labor Government little discomfort in perhaps the same way as it may have done to a conservative Coalition government. Further the Coalition’s ‘cold war’ anti Communist campaign, titled ‘Reds under the Bed’, had well past and no longer blocked appropriate action being taken against potential Nazis war criminals.   </w:t>
      </w:r>
    </w:p>
    <w:p w14:paraId="7D34AF16" w14:textId="77777777" w:rsidR="003F54EE" w:rsidRDefault="003F54EE" w:rsidP="003F54EE">
      <w:pPr>
        <w:jc w:val="both"/>
      </w:pPr>
      <w:r>
        <w:t xml:space="preserve">In customary fashion the Hawke Government appointed a public servant by the name of Andrew Menzies (not to be confused with the former Prime Minister) to investigate the allegations and to report back to Government. </w:t>
      </w:r>
      <w:r w:rsidRPr="00035056">
        <w:t xml:space="preserve">When Menzies </w:t>
      </w:r>
      <w:r>
        <w:t>found that</w:t>
      </w:r>
      <w:r w:rsidRPr="00035056">
        <w:t xml:space="preserve"> there w</w:t>
      </w:r>
      <w:r>
        <w:t>as</w:t>
      </w:r>
      <w:r w:rsidRPr="00035056">
        <w:t xml:space="preserve"> indeed evidence of the existence of potential </w:t>
      </w:r>
      <w:r>
        <w:t xml:space="preserve">Nazi </w:t>
      </w:r>
      <w:r w:rsidRPr="00035056">
        <w:t>war criminals</w:t>
      </w:r>
      <w:r>
        <w:t xml:space="preserve"> living in </w:t>
      </w:r>
      <w:r w:rsidRPr="00035056">
        <w:t>Australia</w:t>
      </w:r>
      <w:r>
        <w:t>, the scene was set for the Government to respond.</w:t>
      </w:r>
    </w:p>
    <w:p w14:paraId="692DC8B7" w14:textId="77777777" w:rsidR="003F54EE" w:rsidRDefault="003F54EE" w:rsidP="003F54EE">
      <w:pPr>
        <w:pStyle w:val="Heading1"/>
        <w:jc w:val="both"/>
      </w:pPr>
    </w:p>
    <w:p w14:paraId="1C79F9B6" w14:textId="77777777" w:rsidR="003F54EE" w:rsidRDefault="003F54EE" w:rsidP="003F54EE">
      <w:pPr>
        <w:pStyle w:val="Heading1"/>
        <w:jc w:val="both"/>
      </w:pPr>
      <w:r>
        <w:t>Part 3:   The Australian Constitution; War Crimes Act;</w:t>
      </w:r>
      <w:r w:rsidRPr="007E30A0">
        <w:t xml:space="preserve"> </w:t>
      </w:r>
      <w:r>
        <w:t>Jury Trials; The Rules of Evidence;</w:t>
      </w:r>
      <w:r w:rsidRPr="002C0F41">
        <w:t xml:space="preserve"> </w:t>
      </w:r>
      <w:r>
        <w:t>Justice delayed is justice denied – for the victims.</w:t>
      </w:r>
    </w:p>
    <w:p w14:paraId="0E6D7DCF" w14:textId="77777777" w:rsidR="003F54EE" w:rsidRDefault="003F54EE" w:rsidP="003F54EE">
      <w:pPr>
        <w:jc w:val="both"/>
      </w:pPr>
    </w:p>
    <w:p w14:paraId="198014A4" w14:textId="77777777" w:rsidR="003F54EE" w:rsidRDefault="003F54EE" w:rsidP="003F54EE">
      <w:pPr>
        <w:jc w:val="both"/>
      </w:pPr>
      <w:r>
        <w:t>The prosecution of war criminals who had committed offences in foreign counties during the course of the Second World War in circumstances where the offender, the offence, the victims and the appropriate criminal law jurisdiction had no connection to Australia was certainly beyond the criminal law jurisdiction of any of the Australian States. It was arguably also beyond the jurisdiction of Australia itself. Apart from the fact that the suspects now lived in Australia, there was no other common law basis upon which a court could claim jurisdiction.</w:t>
      </w:r>
    </w:p>
    <w:p w14:paraId="61A49205" w14:textId="77777777" w:rsidR="003F54EE" w:rsidRDefault="003F54EE" w:rsidP="003F54EE">
      <w:pPr>
        <w:jc w:val="both"/>
      </w:pPr>
      <w:r>
        <w:t>Australia is however, a member of the international community of nations and as such is expected to actively participate in this community to the benefit of all nations. In order to do this the Federal Parliament is authorised under Section 51 (xxix) of the Commonwealth of Australia Constitution to make laws with respect to External Affairs. Because the primary responsibility for enforcing the criminal law rests with the States, the power of the Federal Government in criminal law enforcement is limited. However, if the Federal Parliament lacked jurisdiction over these potential war criminals, then no Australian Parliament would have jurisdiction either. Hence in order to prosecute these offenders the Federal Parliament had to assert jurisdiction.</w:t>
      </w:r>
    </w:p>
    <w:p w14:paraId="0182BDBC" w14:textId="77777777" w:rsidR="003F54EE" w:rsidRDefault="003F54EE" w:rsidP="003F54EE">
      <w:pPr>
        <w:jc w:val="both"/>
      </w:pPr>
      <w:r>
        <w:t xml:space="preserve">At the time there was no legislation available to allow the prosecution of these offenders. The Federal Parliament could have enacted a special Act of Parliament to do this but instead chose to provide a legislative base for these trials by amending the War Crimes Act 1945. The original 1945 War Crimes Act was intended to prosecute Japanese war criminals following the war. In terms of procedural fairness this was a crude piece of legislation. None of the usual guarantees associated with criminal trials, such as the presumption of innocence, proof beyond a reasonable doubt, the right to counsel or the rules of evidence applied to these military trials where the judges did not even have to be legally qualified. This Act in its original form was totally unsuitable for the prosecution of Australian citizens. The Nazi war criminal suspects had by the 1980’s became Australian citizens. Thus, a whole new part of the Act had to be inserted to deal with these cases. The fair trial guarantees for these offenders had to be at least equal to those provided to any Australian resident charged with a Federal criminal offence. </w:t>
      </w:r>
    </w:p>
    <w:p w14:paraId="0FB588B3" w14:textId="77777777" w:rsidR="003F54EE" w:rsidRDefault="003F54EE" w:rsidP="003F54EE">
      <w:pPr>
        <w:jc w:val="both"/>
      </w:pPr>
      <w:r>
        <w:t xml:space="preserve">The War Crimes Amendment Act 1988 (Cwth) came into effect in 1989. It specifically provided that persons accused of committing war crimes (Nazi war criminal suspects who were resident in </w:t>
      </w:r>
      <w:r>
        <w:lastRenderedPageBreak/>
        <w:t>Australia) should be “…tried in the ordinary courts of Australia” and that they be given a “…fair trial… with all the safeguards for accused persons for trials in those courts….”.</w:t>
      </w:r>
    </w:p>
    <w:p w14:paraId="424A05BB" w14:textId="77777777" w:rsidR="003F54EE" w:rsidRDefault="003F54EE" w:rsidP="003F54EE">
      <w:pPr>
        <w:jc w:val="both"/>
      </w:pPr>
      <w:r>
        <w:t xml:space="preserve">In the 1980’s and ‘90’s persons charged with Federal criminal offences were tried before State courts. The Federal Government did not have its own criminal courts. Hence when Federal criminal trials took place before State judges the judges and the court became Federal Courts. This curious transformation took place by means of a legislative mechanism created by the Judiciary Act 1903 (Cwth) whereby a State court became a Federal Court for the purposes of the trial. </w:t>
      </w:r>
    </w:p>
    <w:p w14:paraId="2CCABFF2" w14:textId="77777777" w:rsidR="003F54EE" w:rsidRDefault="003F54EE" w:rsidP="003F54EE">
      <w:pPr>
        <w:jc w:val="both"/>
      </w:pPr>
      <w:r>
        <w:t>There are very few human rights guarantees incorporated into the Australian Constitution, but Section 80 of the Constitution is one of those few. Section 80 provides that the trial of a serious offence (indictable offence) against a law of the Commonwealth shall be by jury and will take place in the State where the offence has occurred or if not committed within any State where Parliament prescribes. This provision mandated that any trial had to be by jury. Juries are important because they allow members of the community to directly participate (on a representative basis) in the criminal justice process. It allows members of the public to stand between the coercive force of the State and the person accused of a crime who, is presumed innocent, until found guilty beyond a reasonable doubt by 12 of his or her fellow citizens. Trials by jury date back to the Magna Carta and have stood the test of time in curbing the tyranny by the State. It is fundamental to our democratic system. Hence if the Government wanted to prosecute suspected Nazi war criminals for war crimes (a serious offence) and these persons were Australian citizens then there was simply no option but for the trials to be jury trials.</w:t>
      </w:r>
    </w:p>
    <w:p w14:paraId="7932835F" w14:textId="77777777" w:rsidR="003F54EE" w:rsidRDefault="003F54EE" w:rsidP="003F54EE">
      <w:pPr>
        <w:jc w:val="both"/>
      </w:pPr>
      <w:r>
        <w:t>The absence of a Federal Bill of Rights and a very limited number of rights under the Constitution is to a limited extent made up for by the ‘rules of evidence’. At the time, the rules of evidence were an invention of the common law. The rules of evidence are designed to restrict what information can be put to a jury especially in a criminal trial. Hence highly prejudicial evidence that has little or no probative value, hearsay, opinion evidence, illegally obtained evidence and evidence that might mislead a jury of ordinary citizens who are not trained in the law, is often excluded. The responsibility for monitoring the admission of evidence rests with the trial judge. Should the trial judge fail to perform this role correctly, then this failure can lead to an appeal. Trial judges tend to be very diligent when dealing with what evidence can and cannot go to the jury because (among other things) they do not want to be subsequently criticised by an appellant court for allowing evidence to be admitted that should, according to the rules of evidence, have rightly  been excluded.</w:t>
      </w:r>
    </w:p>
    <w:p w14:paraId="21E6D943" w14:textId="77777777" w:rsidR="003F54EE" w:rsidRDefault="003F54EE" w:rsidP="003F54EE">
      <w:pPr>
        <w:jc w:val="both"/>
      </w:pPr>
      <w:r>
        <w:t>In a criminal trial in Australia the standard of proof imposed upon the Prosecution in order to obtain a conviction, is proof ‘beyond a reasonable doubt’.  This requirement is another of our fundamental human rights and prevents the State from wrongly convicting accused persons on the basis of ‘flimsy or unreliable’ evidence. One test of reliability used by the courts to determine the strength of the evidence is whether or not it is consistent. This test of consistency is especially important when it comes to the testimony of witnesses. In other words, if a witness says one thing at one stage and at a later stage contradicts that earlier statement or says something different, then the credibility and reliability of the evidence of that witness is thrown into doubt. Hence prior inconsistent statements can be very damaging to the prosecution case in a criminal trial.</w:t>
      </w:r>
    </w:p>
    <w:p w14:paraId="30299BA9" w14:textId="77777777" w:rsidR="003F54EE" w:rsidRDefault="003F54EE" w:rsidP="003F54EE">
      <w:pPr>
        <w:jc w:val="both"/>
      </w:pPr>
      <w:r>
        <w:t xml:space="preserve">It is often said that ‘justice delayed is justice denied’. This generally applies to accused persons because if the State accuses a person of having done something contrary to the law, then if it happened a very long time ago then it is hard for the accused person to go out and find evidence to show the court that it did not happen. But equally it applies to the prosecution because the ability to prove the accuracy of the statement of a witness is often corroborated by other evidence in support </w:t>
      </w:r>
      <w:r>
        <w:lastRenderedPageBreak/>
        <w:t xml:space="preserve">of what the witness is saying. </w:t>
      </w:r>
      <w:r w:rsidRPr="00B2225F">
        <w:t xml:space="preserve">Corroborating </w:t>
      </w:r>
      <w:r w:rsidRPr="00984D75">
        <w:t>forensic</w:t>
      </w:r>
      <w:r w:rsidRPr="00B2225F">
        <w:t xml:space="preserve"> evidence is very fragile and often does not age well. This means that very important corroborating evidence can be lost or destroyed before it can be used by the prosecution at trial. If the prosecution fails because of this delay then it is the victims who are denied justice.</w:t>
      </w:r>
      <w:r>
        <w:t xml:space="preserve"> </w:t>
      </w:r>
    </w:p>
    <w:p w14:paraId="47455E56" w14:textId="77777777" w:rsidR="003F54EE" w:rsidRDefault="003F54EE" w:rsidP="003F54EE">
      <w:pPr>
        <w:jc w:val="both"/>
      </w:pPr>
      <w:r>
        <w:t xml:space="preserve">Further, human memory, relied upon by a witness when relating an incident is also a fickle medium. Our memories fade over time and we often confuse minor details of the event, or importantly if we were are very young at the time, many years later, we may perceive that we saw something or did something, that we in fact only heard about but did not in actually see or do. In these circumstances the witness may honestly believe that they are telling the truth but in fact their evidence is confused, unreliable </w:t>
      </w:r>
      <w:r w:rsidRPr="00B2225F">
        <w:t>or</w:t>
      </w:r>
      <w:r>
        <w:t xml:space="preserve"> inaccurate. Hence a long delay in presenting their evidence before the court can also result in it either being excluded or being given little weight because it is seen as unreliable.</w:t>
      </w:r>
    </w:p>
    <w:p w14:paraId="4B40EF12" w14:textId="77777777" w:rsidR="003F54EE" w:rsidRDefault="003F54EE" w:rsidP="003F54EE">
      <w:pPr>
        <w:jc w:val="both"/>
      </w:pPr>
      <w:r>
        <w:t xml:space="preserve">In criminal trials in Australia the prosecution carries the ‘burden of proof’. This means that if the State wants to convict someone of a criminal offence, they must find sufficient independent evidence to prove the case beyond a reasonable doubt. There is no obligation on the defendant to help the State prove the case against him or her. The defendant has the right to silence. The defendant has no obligation to participate, they can elect to remain silent during the whole process and simply force the State to carry its burden of proof. Sometimes defendants choose to participate in a ‘record of interview’ with the investigators. At times they may even confess to committing the crime during the interview.  However, because the defendant has forgone one of his/her fundamental rights by helping the State prove the case against them, judges are very cautious to ensure that the defendant knew that they (a) did not have to speak and (b) when they gave up their right to silence, they did so voluntarily. Trial judges stand at the ‘gateway’ when it comes to allowing evidence to go to the jury. A confession by the defendant is a ‘statement against their interest’ and is very powerful evidence in determining whether a defendant is guilty of the crime charged. Judges need to be satisfied that the defendant knew what they were doing when they confessed and in circumstances where they suspect that a defendant may not have been fully alert to the consequences of their acts, say if they come from a cultural background where these rights are not entrenched or where they may be at a linguistic disadvantage, they can simply exclude the evidence so that it never goes to the jury for their consideration.     </w:t>
      </w:r>
    </w:p>
    <w:p w14:paraId="1520599D" w14:textId="77777777" w:rsidR="003F54EE" w:rsidRDefault="003F54EE" w:rsidP="003F54EE">
      <w:pPr>
        <w:jc w:val="both"/>
      </w:pPr>
      <w:r>
        <w:t xml:space="preserve">Cultural background is important when it comes to knowing about how our legal system works. Australians who have lived in Australia for many generations generally have a healthy scepticism when it comes to the State, especially State officials such as the police or security services. They are not easily cowered by State officials into giving false statements against their will simply because State officials tell them to do so. They also tend to have a pretty good idea in distinguishing between what they have actually seen or heard from something that has been relayed to them by others – hearsay. However, when it comes to other cultures, it cannot be presumed that the average citizen of that country is the same. These people may have little or no understanding of hearsay or if they perceive that it might be in their best interest to </w:t>
      </w:r>
      <w:r w:rsidRPr="00514677">
        <w:t>curry favour</w:t>
      </w:r>
      <w:r>
        <w:t xml:space="preserve"> with State officials by exaggerating their evidence</w:t>
      </w:r>
      <w:r w:rsidR="00514677">
        <w:t>,</w:t>
      </w:r>
      <w:r>
        <w:t xml:space="preserve"> </w:t>
      </w:r>
      <w:r w:rsidRPr="00984D75">
        <w:t xml:space="preserve">then </w:t>
      </w:r>
      <w:r w:rsidR="00514677" w:rsidRPr="00984D75">
        <w:t>it is conceivable</w:t>
      </w:r>
      <w:r w:rsidR="00514677">
        <w:t xml:space="preserve"> </w:t>
      </w:r>
      <w:r>
        <w:t xml:space="preserve">they </w:t>
      </w:r>
      <w:r w:rsidRPr="00560029">
        <w:t>may be inclined to do so.</w:t>
      </w:r>
      <w:r>
        <w:t xml:space="preserve">  It would be wrong to label this as dishonest because it is really just how they culturally view the world in which they live.   </w:t>
      </w:r>
    </w:p>
    <w:p w14:paraId="151A87DF" w14:textId="77777777" w:rsidR="003F54EE" w:rsidRDefault="003F54EE" w:rsidP="003F54EE">
      <w:pPr>
        <w:spacing w:after="200" w:line="276" w:lineRule="auto"/>
        <w:rPr>
          <w:rFonts w:asciiTheme="majorHAnsi" w:eastAsiaTheme="majorEastAsia" w:hAnsiTheme="majorHAnsi" w:cstheme="majorBidi"/>
          <w:color w:val="365F91" w:themeColor="accent1" w:themeShade="BF"/>
          <w:sz w:val="32"/>
          <w:szCs w:val="32"/>
        </w:rPr>
      </w:pPr>
      <w:r>
        <w:br w:type="page"/>
      </w:r>
    </w:p>
    <w:p w14:paraId="35DB3374" w14:textId="77777777" w:rsidR="003F54EE" w:rsidRDefault="003F54EE" w:rsidP="003F54EE">
      <w:pPr>
        <w:pStyle w:val="Heading1"/>
        <w:jc w:val="both"/>
      </w:pPr>
      <w:r>
        <w:lastRenderedPageBreak/>
        <w:t xml:space="preserve">Part 4 Why the Trials Failed           </w:t>
      </w:r>
    </w:p>
    <w:p w14:paraId="3551C0E2" w14:textId="77777777" w:rsidR="003F54EE" w:rsidRDefault="003F54EE" w:rsidP="003F54EE">
      <w:pPr>
        <w:jc w:val="both"/>
      </w:pPr>
    </w:p>
    <w:p w14:paraId="1C616C7B" w14:textId="77777777" w:rsidR="003F54EE" w:rsidRDefault="003F54EE" w:rsidP="003F54EE">
      <w:pPr>
        <w:jc w:val="both"/>
      </w:pPr>
      <w:r>
        <w:t>It is not my intention to chronicle the Australian trials in terms of what actually happened in court on a day to day basis. I will leave this for others to do. I will only touch on the trials to the extent necessary to support the main contention of my argument, namely, why the trials failed?</w:t>
      </w:r>
    </w:p>
    <w:p w14:paraId="608B5E02" w14:textId="77777777" w:rsidR="003F54EE" w:rsidRDefault="003F54EE" w:rsidP="003F54EE">
      <w:pPr>
        <w:jc w:val="both"/>
      </w:pPr>
      <w:r>
        <w:t>Once the amendments to the War Crimes Act passed the Federal Parliament the investigation process commenced in earnest.</w:t>
      </w:r>
      <w:r w:rsidRPr="00035056">
        <w:t xml:space="preserve"> </w:t>
      </w:r>
      <w:r>
        <w:t>The investigation work was carried out by a special unit created within the F</w:t>
      </w:r>
      <w:r w:rsidRPr="00035056">
        <w:t xml:space="preserve">ederal </w:t>
      </w:r>
      <w:r>
        <w:t>A</w:t>
      </w:r>
      <w:r w:rsidRPr="00035056">
        <w:t>ttorney</w:t>
      </w:r>
      <w:r>
        <w:t>-G</w:t>
      </w:r>
      <w:r w:rsidRPr="00035056">
        <w:t>eneral</w:t>
      </w:r>
      <w:r>
        <w:t xml:space="preserve">’s Department. The Special Investigations Unit was to investigate the cases and once completed, their brief of evidence was to be referred to the Commonwealth Director of Public Prosecutions (‘DPP’). </w:t>
      </w:r>
    </w:p>
    <w:p w14:paraId="5DA25CD3" w14:textId="77777777" w:rsidR="003F54EE" w:rsidRDefault="003F54EE" w:rsidP="003F54EE">
      <w:pPr>
        <w:jc w:val="both"/>
      </w:pPr>
      <w:r>
        <w:t>Technically the DPP has no role in the investigative process, however, it often happens that the investigators will consult the DPP during the investigative stage so as to ensure that what they ultimately produce in their brief of evidence is a product that the DPP considers helpful in arguing the case before the court. In big cases this consultation process often occurs, it is appropriate, efficient, and economical. Consultations of this type occurred with the Australian Nazi war crimes trial investigations. For the most part this consultation process was very successful. However, in one respect it proved very damaging to the prosecution case.</w:t>
      </w:r>
    </w:p>
    <w:p w14:paraId="38CFEC49" w14:textId="77777777" w:rsidR="003F54EE" w:rsidRDefault="003F54EE" w:rsidP="003F54EE">
      <w:pPr>
        <w:jc w:val="both"/>
      </w:pPr>
      <w:r>
        <w:t>(a) Prior Inconsistent statements – attack on the credibility of the witness.</w:t>
      </w:r>
    </w:p>
    <w:p w14:paraId="1BA879FF" w14:textId="77777777" w:rsidR="003F54EE" w:rsidRDefault="003F54EE" w:rsidP="003F54EE">
      <w:pPr>
        <w:jc w:val="both"/>
      </w:pPr>
      <w:r>
        <w:t xml:space="preserve">During the 1980’s the use of video cameras as part of a criminal investigation was very new. Investigators and prosecutors had very little experience in using video evidence, both in terms of investigations and subsequent prosecutions. To be sure, we knew that if the court could be shown a contemporaneous film of what occurred then this would go a long way in excluding defence assertions that the investigators ‘made things up’. Before videos were commonly used by police, defendants would sometimes claim that the police fabricated the evidence, especially when they claimed that the defendant had confessed to the crime. It then came down to a contest between the police and the defendant as to who was telling the truth. A video recording of what occurred often excluded the possibility of the defence falsely raising this allegation against the police.  However, using a video recording of what a witness said was practically unheard of in the 1980’s. </w:t>
      </w:r>
    </w:p>
    <w:p w14:paraId="295CFE6F" w14:textId="77777777" w:rsidR="003F54EE" w:rsidRDefault="003F54EE" w:rsidP="003F54EE">
      <w:pPr>
        <w:jc w:val="both"/>
      </w:pPr>
      <w:r>
        <w:t xml:space="preserve">During an early conference between the DPP and SIU, when these cases where being investigated, discussion took place about whether the defence might assert at trial that the SIU investigators had influenced prosecution witnesses, especially those emanating from the USSR to exaggerate or fabricate their evidence. In order to avoid this possibility and so as to ensure transparency, it was suggested by the DPP that the SIU should video record the evidence gathering process. The SIU adopted this suggestion and consequently it video recorded the initial interviews with the prosecution witnesses. This was partly successful in that at no stage was it ever suggested that that the SIU investigators had fabricated or exaggerated the prosecution evidence, but in a totally unforeseen scenario it proved disastrous to the prosecution case. </w:t>
      </w:r>
    </w:p>
    <w:p w14:paraId="6F99B725" w14:textId="77777777" w:rsidR="00EB033E" w:rsidRPr="00984D75" w:rsidRDefault="003F54EE" w:rsidP="00EB033E">
      <w:pPr>
        <w:jc w:val="both"/>
      </w:pPr>
      <w:r w:rsidRPr="00984D75">
        <w:t xml:space="preserve">In the 1980’s, </w:t>
      </w:r>
      <w:r w:rsidR="00EB033E" w:rsidRPr="00984D75">
        <w:t xml:space="preserve">The USSR counterpart to the SIU was the Soviet Procurator-General’s Office (PGO). The PGO in Moscow, and the Regions in Ukraine and elsewhere in the Soviet Union, hosted the SIU investigators when they travelled to the USSR to gather the evidence. The task of locating the witnesses and arranging for them to be interviewed by the SIU, fell to the PGO.  One can only speculate what pressure, and if any, to what extent, was put on the witnesses by the Soviets to </w:t>
      </w:r>
      <w:r w:rsidR="00EB033E" w:rsidRPr="00984D75">
        <w:lastRenderedPageBreak/>
        <w:t xml:space="preserve">cooperate with the SIU investigators.  What is clear however, the Government of the USSR was very much in favour of the trials. </w:t>
      </w:r>
    </w:p>
    <w:p w14:paraId="771409F0" w14:textId="77777777" w:rsidR="00EB033E" w:rsidRPr="00984D75" w:rsidRDefault="00EB033E" w:rsidP="00EB033E">
      <w:pPr>
        <w:jc w:val="both"/>
      </w:pPr>
      <w:r w:rsidRPr="00984D75">
        <w:t>The witnesses from the USSR were for the most part simple folk. They were not all that well educated, their Ukrainian villages by our standards were relatively primitive. Often their experience in dealing with Government Officials was negative, but to be sure, their experience of the Second World War was even more horrific. What had happened in their little villages at the behest of the Nazi invaders was etched in their memory. Shortly after the evil of war had passed, most of them gave statements to Soviet war crimes commissions about their war time experiences.  These statements had been gathered, in part, to assist the Soviets in seeking reparations from the Germans.  The witnesses no doubt discussed at length their recollections of what had befallen them. Some were only children at the time. What they themselves had seen and what others had told them had happened no doubt blurred over time. Recounting these events some 40 plus years later no doubt made it difficult to distinguish between their personal observations and what others had told them had occurred. Importantly this becomes even more problematic when, in their perception, the distinction was of little consequence. Overlay this with the possibility that the witnesses were possibly afraid or nervous of State officials, they may have felt compelled to cooperate with the SIU.</w:t>
      </w:r>
    </w:p>
    <w:p w14:paraId="56CE33FF" w14:textId="77777777" w:rsidR="00EB033E" w:rsidRDefault="00EB033E" w:rsidP="00EB033E">
      <w:pPr>
        <w:jc w:val="both"/>
      </w:pPr>
      <w:r w:rsidRPr="00984D75">
        <w:t>It was against this background that many Soviet witnesses gave their statements to the SIU investigators who turned up in the witness’s town or village, or on rare occasions at their homes, with video cameras in tow. These kind but simple folk probably had little concept of video recording, some may not even have known what a video camera was.</w:t>
      </w:r>
      <w:r w:rsidRPr="003832A0">
        <w:t xml:space="preserve"> </w:t>
      </w:r>
    </w:p>
    <w:p w14:paraId="3FADA88F" w14:textId="77777777" w:rsidR="003F54EE" w:rsidRDefault="003F54EE" w:rsidP="00EB033E">
      <w:pPr>
        <w:jc w:val="both"/>
      </w:pPr>
      <w:r>
        <w:t>Under Australian law the prosecution has an obligation to provide the defence with all the evidence they have gathered relevant to a criminal trial. It does not matter if the prosecution says that it does not intend to use this evidence at trial – the defence are still entitled to see it. This obligation to disclose is another one of our ‘rights’. A failure by the prosecution to disclose relevant evidence can result in a mistrial. What may be irrelevant or superfluous to the prosecution may be relevant to the defence.</w:t>
      </w:r>
    </w:p>
    <w:p w14:paraId="04285783" w14:textId="77777777" w:rsidR="003F54EE" w:rsidRDefault="003F54EE" w:rsidP="003F54EE">
      <w:pPr>
        <w:jc w:val="both"/>
      </w:pPr>
      <w:r>
        <w:t xml:space="preserve">In the Australian Nazi war crimes trials that took place in Adelaide, the prosecution would only have used these video recordings in the trial if they were necessary to rebut a defence assertion that SIU investigators had fabricated or exaggerated the evidence of witnesses. Hence unless or until this occurred, they were irrelevant to the prosecution case. No such assertion was even made. However, they were certainly not irrelevant to the defence case. </w:t>
      </w:r>
    </w:p>
    <w:p w14:paraId="1AB1DCBD" w14:textId="77777777" w:rsidR="003F54EE" w:rsidRDefault="003F54EE" w:rsidP="003F54EE">
      <w:pPr>
        <w:jc w:val="both"/>
      </w:pPr>
      <w:r>
        <w:t>When a case was prepared for committal at the time, (preliminary hearing) the prosecution had an obligation to submit to the court the Statement of the Witness. This was a formal typewritten document that had been signed by the witness. The preparation of these documents is a painstaking meticulous process.</w:t>
      </w:r>
      <w:r w:rsidR="00514677">
        <w:t xml:space="preserve">  </w:t>
      </w:r>
      <w:r w:rsidR="00514677" w:rsidRPr="00984D75">
        <w:t>They rely on the memory and recollection of the witness.</w:t>
      </w:r>
      <w:r w:rsidR="00514677">
        <w:t xml:space="preserve"> </w:t>
      </w:r>
      <w:r>
        <w:t xml:space="preserve"> Irrelevant evidence such as hearsay or other confusing evidence is very often excluded from these statements during the course of their preparation. When the witness testifies in court, </w:t>
      </w:r>
      <w:r w:rsidRPr="00BB0E0C">
        <w:t xml:space="preserve">they testify </w:t>
      </w:r>
      <w:r w:rsidRPr="00514677">
        <w:t>according to their statement</w:t>
      </w:r>
      <w:r>
        <w:t xml:space="preserve">. Video recordings of what a witness had said on a previous occasion would not have been submitted to the court at the committal stage nor would have they been relevant. The situation was no different with respect to the Australian Nazi trials. </w:t>
      </w:r>
    </w:p>
    <w:p w14:paraId="346DEF37" w14:textId="77777777" w:rsidR="003F54EE" w:rsidRDefault="003F54EE" w:rsidP="003F54EE">
      <w:pPr>
        <w:jc w:val="both"/>
      </w:pPr>
      <w:r>
        <w:t xml:space="preserve">When the Adelaide preliminary hearings began, (and subsequently at the trial) the Ukrainian witnesses testified according to their Statement. Witness after witness gave their evidence entirely faithful to their statement. But the defence used the videos to discredit their evidence. The defence tactic went as follows. After the witness had testified in chief, the witness under cross examination </w:t>
      </w:r>
      <w:r>
        <w:lastRenderedPageBreak/>
        <w:t xml:space="preserve">would be asked by the defence if they adhered to the sworn evidence that they had just given. Although this was in itself a confusing question to a prosecution witness coming from the USSR they generally said “yes... of course”. The defence counsel would then say to the witness “I want you to look at the video recording that I now show you?” The video would be played, and the witness could be seen saying in the video something different to what they had just testified to at trial. In many instances these differences were minor, such as whether a person that the witness was describing, such as a perpetrator, wore a blue or black coat or whether they were armed with a pistol of a rifle. Sometimes the defence would force the witness to clarify what version was true, their sworn testimony or the video recording, but in the end it did not matter much, the damage had been done. The prior inconsistent statement of the witness was there for all to see, the witness’s credibility had been damaged. </w:t>
      </w:r>
    </w:p>
    <w:p w14:paraId="787EDF6D" w14:textId="77777777" w:rsidR="003F54EE" w:rsidRPr="002A1786" w:rsidRDefault="003F54EE" w:rsidP="003F54EE">
      <w:pPr>
        <w:jc w:val="both"/>
        <w:rPr>
          <w:b/>
          <w:bCs/>
          <w:sz w:val="36"/>
          <w:szCs w:val="36"/>
        </w:rPr>
      </w:pPr>
      <w:r>
        <w:t xml:space="preserve">The sad part about all this is that the witnesses were not being dishonest, they simply did not understand what was happening. They thought they were doing their best, unfortunately the culture of the USSR was vastly different to the culture of the Australian criminal justice system. The transition from one culture to the other was a ‘step too far’. </w:t>
      </w:r>
      <w:r w:rsidRPr="002A1786">
        <w:rPr>
          <w:b/>
          <w:bCs/>
          <w:sz w:val="36"/>
          <w:szCs w:val="36"/>
        </w:rPr>
        <w:t xml:space="preserve"> </w:t>
      </w:r>
    </w:p>
    <w:p w14:paraId="364E5F9F" w14:textId="77777777" w:rsidR="003F54EE" w:rsidRDefault="003F54EE" w:rsidP="003F54EE">
      <w:pPr>
        <w:jc w:val="both"/>
      </w:pPr>
      <w:r>
        <w:t>(b) The consequences of ‘delay’.</w:t>
      </w:r>
    </w:p>
    <w:p w14:paraId="77B71686" w14:textId="77777777" w:rsidR="003F54EE" w:rsidRDefault="003F54EE" w:rsidP="003F54EE">
      <w:pPr>
        <w:jc w:val="both"/>
      </w:pPr>
      <w:r>
        <w:t xml:space="preserve">The delay in bringing these trials no doubt contributed significantly towards their failure. A good many witnesses who could no doubt have testified had the trials been heard in the 1950’s and 60’s were no longer available. In many jurisdictions statutes of limitations restrict the bringing of prosecutions which are very old. There are sound justice reasons for prohibiting the bringing of cases which relate to such old events. These were very old cases. Hence the evidence of one witness could no longer be tested against the evidence of another.  </w:t>
      </w:r>
      <w:r w:rsidRPr="00BB0E0C">
        <w:t>Crucial forensic evidence</w:t>
      </w:r>
      <w:r>
        <w:t xml:space="preserve"> had been destroyed or lost. Structures such as buildings had been removed or destroyed, vegetation such as forests had changed. Fingerprints, objects such as guns and other weapons that may have linked the accused to the crime no longer existed. Most importantly witnesses memories had faded. Delay in bringing the cases not only impacts on an accused’s ability to have a fair trial, but it also impacts significantly on the prosecutions ability to prove the case beyond a reasonable doubt. </w:t>
      </w:r>
    </w:p>
    <w:p w14:paraId="45E8029F" w14:textId="77777777" w:rsidR="003F54EE" w:rsidRDefault="003F54EE" w:rsidP="003F54EE">
      <w:pPr>
        <w:jc w:val="both"/>
      </w:pPr>
      <w:r>
        <w:t>(c) The rules of evidence.</w:t>
      </w:r>
    </w:p>
    <w:p w14:paraId="70B975FC" w14:textId="77777777" w:rsidR="003F54EE" w:rsidRDefault="003F54EE" w:rsidP="003F54EE">
      <w:pPr>
        <w:jc w:val="both"/>
      </w:pPr>
      <w:r>
        <w:t>In trials such as these there is some justification for having a less stringent approach to the admissibility of evidence. These trials relate to horrific events in human history. It is often difficult for the tribunal of fact to fully comprehend the magnitude of the criminality if the presentation of the evidence is circumscribed by rigid rules applying to the admissibility of the evidence. Often expert witnesses need to be called to assist the tribunal of fact in understanding the background events which has given rise to this offending. In most cases the expert witnesses did not witness the event they are giving their opinion on what they believe has happened. This evidence is not evidence of what happened but what a witness believes in their opinion has happened. Trial judges often consider that expert witnesses may have an undue influence on a jury because the jury may not fully comprehend the significant of this distinction and may be overawed by the impressive qualifications of the expert witness. In these circumstances the trial judge may limit what an expert witness can say in their evidence. Importantly the jury may be warned that they should not just rely on what the expert witness said but what the other evidence proves.</w:t>
      </w:r>
    </w:p>
    <w:p w14:paraId="15F037CA" w14:textId="77777777" w:rsidR="003F54EE" w:rsidRDefault="003F54EE" w:rsidP="003F54EE">
      <w:pPr>
        <w:jc w:val="both"/>
      </w:pPr>
      <w:r>
        <w:t xml:space="preserve">Other rules of evidence discussed above such as the exclusion of hearsay evidence also limit the evidence that is available for the jury to consider. Hearsay evidence can be highly probative, it is not </w:t>
      </w:r>
      <w:r>
        <w:lastRenderedPageBreak/>
        <w:t xml:space="preserve">excluded because it does not prove something it is excluded because it can be potentially unreliable and the jury may not be able to properly assess what factors may impact upon its reliability. </w:t>
      </w:r>
    </w:p>
    <w:p w14:paraId="3B9901F2" w14:textId="77777777" w:rsidR="003F54EE" w:rsidRDefault="003F54EE" w:rsidP="003F54EE">
      <w:pPr>
        <w:jc w:val="both"/>
      </w:pPr>
      <w:r>
        <w:t xml:space="preserve">In a similar vein (and as discussed above) confessional evidence can be highly probative but for it to be admissible it must be voluntary. If a judge has the sense that the defendant did not fully appreciate his/her right to remain silent at the time, then the judge may exclude it on this basis alone.   </w:t>
      </w:r>
    </w:p>
    <w:p w14:paraId="77EC7847" w14:textId="77777777" w:rsidR="003F54EE" w:rsidRDefault="003F54EE" w:rsidP="003F54EE">
      <w:pPr>
        <w:jc w:val="both"/>
      </w:pPr>
      <w:r>
        <w:t>(d) Trial by jury</w:t>
      </w:r>
    </w:p>
    <w:p w14:paraId="45CF340E" w14:textId="77777777" w:rsidR="003F54EE" w:rsidRDefault="003F54EE" w:rsidP="003F54EE">
      <w:pPr>
        <w:jc w:val="both"/>
      </w:pPr>
      <w:r>
        <w:t xml:space="preserve">Trial by jury is a marvellous institution.  It is amazing how powerful 12 human brains focussed on an issue can be. They rarely make mistakes in getting to the truth of matter.  Further the jury act as a break on the power of the State. Without their presence, the executive of Government can be emboldened to ride ‘rough shod’ over the rights and freedoms of the citizen. In their absence the courts can be used for tyranny rather than as an instrument of justice. Having said this, juries are human inventions and are not devoid of their limitations. In my opinion the </w:t>
      </w:r>
      <w:r w:rsidRPr="00BB0E0C">
        <w:t>jury trial was an unsuitable vehicle for the trial of the Australian Nazi war crimes cases.</w:t>
      </w:r>
      <w:r>
        <w:t xml:space="preserve"> </w:t>
      </w:r>
    </w:p>
    <w:p w14:paraId="390CC518" w14:textId="77777777" w:rsidR="003F54EE" w:rsidRPr="00BB0E0C" w:rsidRDefault="003F54EE" w:rsidP="003F54EE">
      <w:pPr>
        <w:jc w:val="both"/>
      </w:pPr>
      <w:r>
        <w:t xml:space="preserve">In addition to restrictions placed on the admission of the evidence as discussed above, juries do not operate well if the case before them has little or no relevance to their environment. While a recent murder committed in the streets of Adelaide would have been very significant to a group of citizens assembled to determine if a fellow citizen had committed the crime. The same cannot be said for a crime that has not been committed within their community. No matter how egregious Hitler’s final solution may have been, it is </w:t>
      </w:r>
      <w:r w:rsidRPr="00BB0E0C">
        <w:t>difficult for an Adelaide jury to relate to something that happened in the Ukraine 45 years before, during the course of a war only remotely connected to them, and at a place where Australia played no role.</w:t>
      </w:r>
      <w:r>
        <w:t xml:space="preserve"> In these circumstances the jury is more likely to search for the only connection they have to them – which in this case was the accused who was a resident of Adelaide. More than likely </w:t>
      </w:r>
      <w:r w:rsidRPr="00BB0E0C">
        <w:t xml:space="preserve">they sympathised with the accused who at the time of the trials was a very sick old man. His crime related to an act committed during the fog of war, where he was forced along with thousands of others to participate in the hideous Genocidal policy of the Nazi criminals. He was simply following the orders of an evil tyrant who would have readily killed him had he not obeyed their orders.  </w:t>
      </w:r>
    </w:p>
    <w:p w14:paraId="39F1F28D" w14:textId="77777777" w:rsidR="003F54EE" w:rsidRDefault="003F54EE" w:rsidP="003F54EE">
      <w:pPr>
        <w:jc w:val="both"/>
      </w:pPr>
      <w:r w:rsidRPr="00BB0E0C">
        <w:t>Arguably the same point could perhaps</w:t>
      </w:r>
      <w:r>
        <w:t xml:space="preserve"> be made with respect to a State judge trying a Federal offence which has little or no connection to South Australia. As the judge is a professional lawyer, the judge should not exhibit any prejudice against trying a Federal offence (as opposed to a State offence</w:t>
      </w:r>
      <w:r w:rsidRPr="00BB0E0C">
        <w:t>), but is it possible that a busy senior State judge anxious to clear a heavy court list of State trials might perhaps exhibit some irritation</w:t>
      </w:r>
      <w:r>
        <w:t xml:space="preserve"> at having to deal with Federal trials that were clogging up the State courts? The crime was not committed in South Australia, the accused posed no threat to the citizens of South Australia and none of the victims resided in South Australia.  </w:t>
      </w:r>
    </w:p>
    <w:p w14:paraId="11F2D3FB" w14:textId="77777777" w:rsidR="003F54EE" w:rsidRDefault="003F54EE" w:rsidP="003F54EE">
      <w:pPr>
        <w:jc w:val="both"/>
      </w:pPr>
      <w:r>
        <w:t xml:space="preserve">In my view the Adelaide trials failed for the reasons I have set out above. I do not think that there was anything we could have better or differently to have overcome these obstacles. I say this because apart from the delay in bringing the cases, the accused were Australian citizens, they were entitled to the protection of their fair trial rights provided for in the rules of evidence, they were entitled to a trial by jury and it would have been unconscionable to deprive them of these protections. The problem was that the Australian domestic criminal trial process was simply </w:t>
      </w:r>
      <w:r w:rsidRPr="00BB0E0C">
        <w:t>not fit for purpose.</w:t>
      </w:r>
      <w:r>
        <w:t xml:space="preserve"> </w:t>
      </w:r>
    </w:p>
    <w:p w14:paraId="2BBB05F9" w14:textId="77777777" w:rsidR="003F54EE" w:rsidRDefault="003F54EE" w:rsidP="003F54EE">
      <w:pPr>
        <w:pStyle w:val="Heading1"/>
        <w:jc w:val="both"/>
      </w:pPr>
      <w:r>
        <w:lastRenderedPageBreak/>
        <w:t>Part 5. Conclusion</w:t>
      </w:r>
    </w:p>
    <w:p w14:paraId="40E0E75E" w14:textId="77777777" w:rsidR="003F54EE" w:rsidRDefault="003F54EE" w:rsidP="003F54EE">
      <w:pPr>
        <w:jc w:val="both"/>
      </w:pPr>
    </w:p>
    <w:p w14:paraId="0F18C6AF" w14:textId="77777777" w:rsidR="003F54EE" w:rsidRDefault="003F54EE" w:rsidP="003F54EE">
      <w:pPr>
        <w:jc w:val="both"/>
      </w:pPr>
      <w:r>
        <w:t>Looking forward, the question must then be asked, “If these systemic obstacles caused the failure of the Nazi Trials in Australia, can war criminals ever be brought to justice under Australian law?” Certainly, if the victims are Australian and the perpetrators are our foreign enemy. But what if the perpetrators are Australian and the victims are on the side of the enemy?  Hopefully in such a case, the trials will not be delayed for 45 years before they are investigated and prosecuted. Further, if any lessons are to be learned from the Australian experience, then free ranging video recordings of what future prosecution witnesses might have to say can also be eliminated. But if Australian soldiers were to be charged with committing war crimes in a foreign country, where the prosecution witnesses were culturally and linguistically different to Australia, “Would these trials also fail?”  A jury trial before a State judge is in my opinion still a problem. Would a jury sympathise more with the accused Australian soldier serving his county, or the unfortunate foreign enemy victim who tragically became entangled in the horrors of war? It is hard to say but as a lawyer I would prefer to defend the Australian soldiers than to prosecute them.</w:t>
      </w:r>
    </w:p>
    <w:p w14:paraId="448AF0A1" w14:textId="77777777" w:rsidR="003F54EE" w:rsidRDefault="003F54EE" w:rsidP="003F54EE">
      <w:pPr>
        <w:jc w:val="both"/>
      </w:pPr>
      <w:r>
        <w:t xml:space="preserve">The only real solution is an international criminal tribunal where there are no juries but a panel of legally trained judges </w:t>
      </w:r>
      <w:r w:rsidRPr="00BB0E0C">
        <w:t>who can</w:t>
      </w:r>
      <w:r>
        <w:t xml:space="preserve"> properly weight all of the available relevant evidence. Where hearsay is not a barrier to the exclusion of relevant evidence. Where the judges have no legal or cultural links to the accused or the victims and where the tribunal of fact can be truly dispassionate and free from any political social or cultural influence. Such a court exists, it is the International Criminal Court in The Hague and in my opinion, this is where any such trials should take place.         </w:t>
      </w:r>
    </w:p>
    <w:p w14:paraId="213E2E27" w14:textId="77777777" w:rsidR="003F54EE" w:rsidRDefault="003F54EE" w:rsidP="003F54EE">
      <w:pPr>
        <w:jc w:val="both"/>
      </w:pPr>
      <w:r>
        <w:t xml:space="preserve">         </w:t>
      </w:r>
    </w:p>
    <w:p w14:paraId="697D4397" w14:textId="77777777" w:rsidR="003F54EE" w:rsidRPr="00035056" w:rsidRDefault="003F54EE" w:rsidP="003F54EE">
      <w:pPr>
        <w:jc w:val="both"/>
      </w:pPr>
    </w:p>
    <w:p w14:paraId="0596E541" w14:textId="77777777" w:rsidR="003F54EE" w:rsidRPr="00DC2F15" w:rsidRDefault="003F54EE" w:rsidP="003F54EE">
      <w:pPr>
        <w:jc w:val="both"/>
      </w:pPr>
    </w:p>
    <w:p w14:paraId="08E5A996" w14:textId="77777777" w:rsidR="003F54EE" w:rsidRPr="00DC2F15" w:rsidRDefault="003F54EE" w:rsidP="003F54EE">
      <w:pPr>
        <w:jc w:val="both"/>
      </w:pPr>
    </w:p>
    <w:p w14:paraId="6DA79118" w14:textId="77777777" w:rsidR="003F54EE" w:rsidRPr="00035056" w:rsidRDefault="003F54EE" w:rsidP="003F54EE">
      <w:pPr>
        <w:jc w:val="both"/>
      </w:pPr>
    </w:p>
    <w:p w14:paraId="50762900" w14:textId="77777777" w:rsidR="003F54EE" w:rsidRDefault="003F54EE" w:rsidP="003F54EE">
      <w:pPr>
        <w:jc w:val="both"/>
      </w:pPr>
    </w:p>
    <w:p w14:paraId="600FB266" w14:textId="77777777" w:rsidR="003F54EE" w:rsidRPr="00035056" w:rsidRDefault="003F54EE" w:rsidP="003F54EE">
      <w:pPr>
        <w:jc w:val="both"/>
      </w:pPr>
    </w:p>
    <w:p w14:paraId="553BE53F" w14:textId="77777777" w:rsidR="003F54EE" w:rsidRDefault="003F54EE" w:rsidP="003F54EE">
      <w:pPr>
        <w:pStyle w:val="Heading1"/>
        <w:jc w:val="both"/>
      </w:pPr>
    </w:p>
    <w:p w14:paraId="75D674D4" w14:textId="77777777" w:rsidR="003F54EE" w:rsidRDefault="003F54EE" w:rsidP="003F54EE">
      <w:pPr>
        <w:jc w:val="both"/>
      </w:pPr>
    </w:p>
    <w:p w14:paraId="3F4CEC24" w14:textId="77777777" w:rsidR="00383874" w:rsidRDefault="009B3D75"/>
    <w:sectPr w:rsidR="00383874" w:rsidSect="00AB3D1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ADDF0" w14:textId="77777777" w:rsidR="00EB10F2" w:rsidRDefault="00EB10F2" w:rsidP="0074261E">
      <w:pPr>
        <w:spacing w:after="0" w:line="240" w:lineRule="auto"/>
      </w:pPr>
      <w:r>
        <w:separator/>
      </w:r>
    </w:p>
  </w:endnote>
  <w:endnote w:type="continuationSeparator" w:id="0">
    <w:p w14:paraId="40C46F4F" w14:textId="77777777" w:rsidR="00EB10F2" w:rsidRDefault="00EB10F2" w:rsidP="00742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1735"/>
      <w:docPartObj>
        <w:docPartGallery w:val="Page Numbers (Bottom of Page)"/>
        <w:docPartUnique/>
      </w:docPartObj>
    </w:sdtPr>
    <w:sdtEndPr/>
    <w:sdtContent>
      <w:p w14:paraId="4FC64707" w14:textId="77777777" w:rsidR="009976EA" w:rsidRDefault="001548E0">
        <w:pPr>
          <w:pStyle w:val="Footer"/>
          <w:jc w:val="right"/>
        </w:pPr>
        <w:r>
          <w:fldChar w:fldCharType="begin"/>
        </w:r>
        <w:r w:rsidR="006927F7">
          <w:instrText xml:space="preserve"> PAGE   \* MERGEFORMAT </w:instrText>
        </w:r>
        <w:r>
          <w:fldChar w:fldCharType="separate"/>
        </w:r>
        <w:r w:rsidR="00984D75">
          <w:rPr>
            <w:noProof/>
          </w:rPr>
          <w:t>10</w:t>
        </w:r>
        <w:r>
          <w:fldChar w:fldCharType="end"/>
        </w:r>
      </w:p>
    </w:sdtContent>
  </w:sdt>
  <w:p w14:paraId="049FACE4" w14:textId="77777777" w:rsidR="009976EA" w:rsidRDefault="009B3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BF620" w14:textId="77777777" w:rsidR="00EB10F2" w:rsidRDefault="00EB10F2" w:rsidP="0074261E">
      <w:pPr>
        <w:spacing w:after="0" w:line="240" w:lineRule="auto"/>
      </w:pPr>
      <w:r>
        <w:separator/>
      </w:r>
    </w:p>
  </w:footnote>
  <w:footnote w:type="continuationSeparator" w:id="0">
    <w:p w14:paraId="5F369562" w14:textId="77777777" w:rsidR="00EB10F2" w:rsidRDefault="00EB10F2" w:rsidP="007426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153E8"/>
    <w:multiLevelType w:val="hybridMultilevel"/>
    <w:tmpl w:val="BAA83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54EE"/>
    <w:rsid w:val="00070BEE"/>
    <w:rsid w:val="001548E0"/>
    <w:rsid w:val="003F54EE"/>
    <w:rsid w:val="004F66D4"/>
    <w:rsid w:val="00514677"/>
    <w:rsid w:val="006927F7"/>
    <w:rsid w:val="0074261E"/>
    <w:rsid w:val="00742741"/>
    <w:rsid w:val="009458E5"/>
    <w:rsid w:val="00984D75"/>
    <w:rsid w:val="009B3D75"/>
    <w:rsid w:val="00C23DA9"/>
    <w:rsid w:val="00CD73E6"/>
    <w:rsid w:val="00CF5591"/>
    <w:rsid w:val="00D4319C"/>
    <w:rsid w:val="00D53999"/>
    <w:rsid w:val="00EB033E"/>
    <w:rsid w:val="00EB10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2F370"/>
  <w15:docId w15:val="{23773CB0-CAF2-4DBF-8BCC-713F81FD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4EE"/>
    <w:pPr>
      <w:spacing w:after="160" w:line="259" w:lineRule="auto"/>
    </w:pPr>
  </w:style>
  <w:style w:type="paragraph" w:styleId="Heading1">
    <w:name w:val="heading 1"/>
    <w:basedOn w:val="Normal"/>
    <w:next w:val="Normal"/>
    <w:link w:val="Heading1Char"/>
    <w:uiPriority w:val="9"/>
    <w:qFormat/>
    <w:rsid w:val="003F54E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4EE"/>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3F54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4EE"/>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unhideWhenUsed/>
    <w:rsid w:val="003F5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4EE"/>
  </w:style>
  <w:style w:type="paragraph" w:styleId="ListParagraph">
    <w:name w:val="List Paragraph"/>
    <w:basedOn w:val="Normal"/>
    <w:uiPriority w:val="34"/>
    <w:qFormat/>
    <w:rsid w:val="00EB033E"/>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5437</Words>
  <Characters>30992</Characters>
  <Application>Microsoft Office Word</Application>
  <DocSecurity>4</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bruser1729</cp:lastModifiedBy>
  <cp:revision>2</cp:revision>
  <dcterms:created xsi:type="dcterms:W3CDTF">2021-10-25T23:50:00Z</dcterms:created>
  <dcterms:modified xsi:type="dcterms:W3CDTF">2021-10-25T23:50:00Z</dcterms:modified>
</cp:coreProperties>
</file>