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24F52" w14:textId="77777777" w:rsidR="004C6EF6" w:rsidRPr="009636D8" w:rsidRDefault="004C6EF6" w:rsidP="004C6EF6">
      <w:pPr>
        <w:spacing w:line="276" w:lineRule="auto"/>
        <w:jc w:val="both"/>
        <w:rPr>
          <w:i/>
          <w:iCs/>
        </w:rPr>
      </w:pPr>
      <w:r w:rsidRPr="009636D8">
        <w:rPr>
          <w:i/>
          <w:iCs/>
        </w:rPr>
        <w:t>Dedicated to all the SIU interpreters and translators</w:t>
      </w:r>
    </w:p>
    <w:p w14:paraId="0A09E518" w14:textId="77777777" w:rsidR="004C6EF6" w:rsidRPr="009636D8" w:rsidRDefault="004C6EF6" w:rsidP="004C6EF6">
      <w:pPr>
        <w:spacing w:line="276" w:lineRule="auto"/>
        <w:jc w:val="both"/>
        <w:rPr>
          <w:b/>
          <w:bCs/>
        </w:rPr>
      </w:pPr>
      <w:r w:rsidRPr="009636D8">
        <w:rPr>
          <w:b/>
          <w:bCs/>
        </w:rPr>
        <w:t xml:space="preserve"> </w:t>
      </w:r>
    </w:p>
    <w:p w14:paraId="38A67733" w14:textId="77777777" w:rsidR="004C6EF6" w:rsidRDefault="004C6EF6" w:rsidP="004C6EF6">
      <w:pPr>
        <w:spacing w:line="276" w:lineRule="auto"/>
        <w:jc w:val="both"/>
        <w:rPr>
          <w:b/>
          <w:bCs/>
        </w:rPr>
      </w:pPr>
      <w:r>
        <w:rPr>
          <w:b/>
          <w:bCs/>
        </w:rPr>
        <w:t>Australian War Crimes investigations through the eyes of an SIU interpreter</w:t>
      </w:r>
    </w:p>
    <w:p w14:paraId="6537C32E" w14:textId="77777777" w:rsidR="004C6EF6" w:rsidRDefault="004C6EF6" w:rsidP="004C6EF6">
      <w:pPr>
        <w:spacing w:line="276" w:lineRule="auto"/>
        <w:jc w:val="both"/>
        <w:rPr>
          <w:b/>
          <w:bCs/>
        </w:rPr>
      </w:pPr>
    </w:p>
    <w:p w14:paraId="2747ABE1" w14:textId="77777777" w:rsidR="004C6EF6" w:rsidRDefault="004C6EF6" w:rsidP="004C6EF6">
      <w:pPr>
        <w:spacing w:line="276" w:lineRule="auto"/>
        <w:jc w:val="both"/>
      </w:pPr>
      <w:r>
        <w:t>‘</w:t>
      </w:r>
      <w:r w:rsidRPr="0040109C">
        <w:t>Translation and interpreting do more</w:t>
      </w:r>
      <w:r>
        <w:t xml:space="preserve"> </w:t>
      </w:r>
      <w:r w:rsidRPr="0040109C">
        <w:t>than</w:t>
      </w:r>
    </w:p>
    <w:p w14:paraId="0399AD5C" w14:textId="77777777" w:rsidR="004C6EF6" w:rsidRDefault="004C6EF6" w:rsidP="004C6EF6">
      <w:pPr>
        <w:spacing w:line="276" w:lineRule="auto"/>
        <w:jc w:val="both"/>
      </w:pPr>
      <w:r w:rsidRPr="0040109C">
        <w:t xml:space="preserve"> just facilitate the proceedings.</w:t>
      </w:r>
      <w:r>
        <w:t xml:space="preserve"> </w:t>
      </w:r>
      <w:r w:rsidRPr="0040109C">
        <w:t>They shape them</w:t>
      </w:r>
      <w:r>
        <w:t>.’</w:t>
      </w:r>
    </w:p>
    <w:p w14:paraId="399C5500" w14:textId="77777777" w:rsidR="004C6EF6" w:rsidRPr="0040109C" w:rsidRDefault="004C6EF6" w:rsidP="004C6EF6">
      <w:pPr>
        <w:spacing w:line="276" w:lineRule="auto"/>
        <w:jc w:val="both"/>
      </w:pPr>
      <w:r>
        <w:t xml:space="preserve"> Helen </w:t>
      </w:r>
      <w:r w:rsidRPr="0040109C">
        <w:t xml:space="preserve">Elias-Bursać </w:t>
      </w:r>
      <w:r>
        <w:t>(2014).</w:t>
      </w:r>
    </w:p>
    <w:p w14:paraId="3D75ABC7" w14:textId="77777777" w:rsidR="004C6EF6" w:rsidRPr="0040109C" w:rsidRDefault="004C6EF6" w:rsidP="004C6EF6">
      <w:pPr>
        <w:spacing w:line="276" w:lineRule="auto"/>
        <w:jc w:val="both"/>
      </w:pPr>
      <w:r w:rsidRPr="0040109C">
        <w:t xml:space="preserve"> </w:t>
      </w:r>
    </w:p>
    <w:p w14:paraId="664BD5C5" w14:textId="77777777" w:rsidR="004C6EF6" w:rsidRDefault="004C6EF6" w:rsidP="004C6EF6">
      <w:pPr>
        <w:spacing w:line="276" w:lineRule="auto"/>
        <w:jc w:val="both"/>
        <w:rPr>
          <w:b/>
          <w:bCs/>
        </w:rPr>
      </w:pPr>
    </w:p>
    <w:p w14:paraId="0654D6AA" w14:textId="77777777" w:rsidR="004C6EF6" w:rsidRPr="00D26CC8" w:rsidRDefault="004C6EF6" w:rsidP="004C6EF6">
      <w:pPr>
        <w:spacing w:line="276" w:lineRule="auto"/>
        <w:jc w:val="both"/>
        <w:rPr>
          <w:b/>
          <w:bCs/>
        </w:rPr>
      </w:pPr>
      <w:r w:rsidRPr="00D26CC8">
        <w:rPr>
          <w:b/>
          <w:bCs/>
        </w:rPr>
        <w:t>Part 1 – Inside the SIU</w:t>
      </w:r>
    </w:p>
    <w:p w14:paraId="7FBBE10A" w14:textId="77777777" w:rsidR="004C6EF6" w:rsidRDefault="004C6EF6" w:rsidP="004C6EF6">
      <w:pPr>
        <w:spacing w:line="276" w:lineRule="auto"/>
        <w:jc w:val="both"/>
        <w:rPr>
          <w:i/>
          <w:iCs/>
        </w:rPr>
      </w:pPr>
    </w:p>
    <w:p w14:paraId="65B5400E" w14:textId="77777777" w:rsidR="004C6EF6" w:rsidRDefault="004C6EF6" w:rsidP="004C6EF6">
      <w:pPr>
        <w:spacing w:line="276" w:lineRule="auto"/>
        <w:jc w:val="both"/>
      </w:pPr>
      <w:r w:rsidRPr="00B71FE2">
        <w:rPr>
          <w:i/>
          <w:iCs/>
        </w:rPr>
        <w:t>The beginnings</w:t>
      </w:r>
    </w:p>
    <w:p w14:paraId="75674A00" w14:textId="77777777" w:rsidR="004C6EF6" w:rsidRDefault="004C6EF6" w:rsidP="004C6EF6">
      <w:pPr>
        <w:spacing w:line="276" w:lineRule="auto"/>
        <w:jc w:val="both"/>
      </w:pPr>
    </w:p>
    <w:p w14:paraId="168ED7F1" w14:textId="77777777" w:rsidR="004C6EF6" w:rsidRDefault="004C6EF6" w:rsidP="004C6EF6">
      <w:pPr>
        <w:spacing w:line="276" w:lineRule="auto"/>
        <w:jc w:val="both"/>
      </w:pPr>
      <w:r>
        <w:t>At the end of 2000, I visited the International Criminal Tribunal for the Former Yugoslavia (ICTY) in The Hague. This visit, the first among many more to come, was made possible thanks to Graham Blewitt, the ICTY Deputy Chief Prosecutor and the former SIU Director. I went to ICTY with the aim of observing the war crimes trials relating to the 1990s Balkan conflict and find out how the Tribunal communicated with witnesses and defendants from the former Yugoslavia. By all accounts, and later from my observations from the public gallery, multilingual communication via simultaneous interpreting went smoothly. I was curious about the Tribunal’s interpreting practices and the ways its lawyers and judges managed the evidence despite the witnesses coming from cultures different from those of the Tribunal and didn’t speak its offical languages. My curiosity as a researcher in these matters was piqued by the recent, far less successful, experience of the Australian War Crimes Prosecutions (1986-93) involving witnesses from the former Soviet Union. I had been involved with the SIU, the Special Investigations Unit, as an interpreter and translator. In this chapter I will recall the work and some of the experiences of the SIU interpreters and translators whose work was essential in the course of the investigations. The picture I will present won’t be comprehensive as it only includes the perspective of those colleagues whom I managed to reach. While reiterating some of the facts described in greater detail in other chapters in this book, they will be presented from the linguistic and cultural angle that will explain its impact on the investigations and, later, the court proceedings.</w:t>
      </w:r>
    </w:p>
    <w:p w14:paraId="00FEE86F" w14:textId="77777777" w:rsidR="004C6EF6" w:rsidRDefault="004C6EF6" w:rsidP="004C6EF6">
      <w:pPr>
        <w:spacing w:line="276" w:lineRule="auto"/>
        <w:jc w:val="both"/>
      </w:pPr>
    </w:p>
    <w:p w14:paraId="4E27A06C" w14:textId="77777777" w:rsidR="00CA78E6" w:rsidRDefault="004C6EF6" w:rsidP="004C6EF6">
      <w:pPr>
        <w:spacing w:line="276" w:lineRule="auto"/>
        <w:jc w:val="both"/>
      </w:pPr>
      <w:r>
        <w:t>My work at the SIU began in November 1989, shortly after my mentor and colleague at the UNSW School of Russian, Michael Ulman, asked me if I was interested in doing some translation work in what he called a rather unusual organisation. At that time, I was completing my first year as a part-time Russian language instructor at UNSW while continuing as a free-lance Russian/English interpreter and translator,</w:t>
      </w:r>
      <w:r w:rsidRPr="00B07C9C">
        <w:t xml:space="preserve"> </w:t>
      </w:r>
      <w:r>
        <w:t>and SBS subtitler, accredited by NAATI (National Accreditation Authority for Translators and Interpreters).</w:t>
      </w:r>
      <w:r w:rsidR="00CA78E6">
        <w:t xml:space="preserve"> </w:t>
      </w:r>
    </w:p>
    <w:p w14:paraId="61422E9E" w14:textId="77777777" w:rsidR="00CA78E6" w:rsidRDefault="004C6EF6" w:rsidP="00CA78E6">
      <w:pPr>
        <w:spacing w:line="276" w:lineRule="auto"/>
      </w:pPr>
      <w:r>
        <w:t xml:space="preserve">The offer sounded intriguing, and without asking any more, I agreed. </w:t>
      </w:r>
    </w:p>
    <w:p w14:paraId="43035178" w14:textId="77777777" w:rsidR="004C6EF6" w:rsidRDefault="004C6EF6" w:rsidP="00CA78E6">
      <w:pPr>
        <w:spacing w:line="276" w:lineRule="auto"/>
        <w:jc w:val="both"/>
      </w:pPr>
      <w:r>
        <w:br/>
        <w:t>Today, thirty years later, I still vividly remember the SIU office in a high rise building</w:t>
      </w:r>
      <w:r w:rsidRPr="000D0243">
        <w:t xml:space="preserve"> </w:t>
      </w:r>
      <w:r>
        <w:t xml:space="preserve">in King Street in Sydney CBD, a walking distance from the Harbour Bridge and the Rocks, with no signage to indicate what organisation I was about to join. Inside, the open plan office </w:t>
      </w:r>
      <w:r>
        <w:lastRenderedPageBreak/>
        <w:t>looked plain, with only a few offices. I was interviewed briefly, and briefly told that the organisation, the SIU, investigated WWII Nazi war crimes and that as a translator I would be working in the office and that my work will be confidential. The rest of the office space was taken by lawyers, investigators, analysts and administrative staff, and to my delight I discovered that the Chief historian was Professor Konrad Kwiet, a colleague at UNSW School of German who had just moved to Macquarie University. In two offices allocated for Language services, several teams of translators already worked</w:t>
      </w:r>
      <w:r w:rsidRPr="006509B1">
        <w:t xml:space="preserve"> </w:t>
      </w:r>
      <w:r>
        <w:t>at their desks, hand-writing their translations, as one did in those days, later to be re-typed on a word processor by admin staff.</w:t>
      </w:r>
    </w:p>
    <w:p w14:paraId="71593BE9" w14:textId="77777777" w:rsidR="004C6EF6" w:rsidRDefault="004C6EF6" w:rsidP="004C6EF6">
      <w:pPr>
        <w:spacing w:line="276" w:lineRule="auto"/>
        <w:jc w:val="both"/>
      </w:pPr>
    </w:p>
    <w:p w14:paraId="075C5940" w14:textId="77777777" w:rsidR="00CA78E6" w:rsidRDefault="004C6EF6" w:rsidP="00DC63CC">
      <w:pPr>
        <w:spacing w:line="276" w:lineRule="auto"/>
        <w:jc w:val="both"/>
      </w:pPr>
      <w:r>
        <w:t>It took me a while to realise that the SIU conducted investigations involving suspects who during WWII had allegedly committed crimes against civilians, mostly Jewish, in the former Soviet republics of Ukraine, Latvia, Lithuania, and in the former Yugoslavia and Hungary. Three of the suspects who all lived in South Australia would be later charged with murder of civilians in the Nazi-occupied Ukraine. Of course, I had been aware of the 1945-46 Nuremberg trials of 21 major Nazi war criminals but at the time I knew a lot less about the more recent prosecutions of WWII Nazi collaborators conducted by Israel, USA, UK and Canada. I did not expect that for the next few years my translating and interpreting work would support the investigations of war crimes that had taken place 50 years earlier in the</w:t>
      </w:r>
    </w:p>
    <w:p w14:paraId="7CD8AC9C" w14:textId="77777777" w:rsidR="004C6EF6" w:rsidRDefault="004C6EF6" w:rsidP="00CA78E6">
      <w:pPr>
        <w:spacing w:line="276" w:lineRule="auto"/>
      </w:pPr>
      <w:r>
        <w:t>former USSR, with the suspects living in Australia.</w:t>
      </w:r>
      <w:r>
        <w:br/>
      </w:r>
    </w:p>
    <w:p w14:paraId="1F62DE00" w14:textId="77777777" w:rsidR="004C6EF6" w:rsidRDefault="004C6EF6" w:rsidP="004C6EF6">
      <w:pPr>
        <w:spacing w:line="276" w:lineRule="auto"/>
        <w:jc w:val="both"/>
      </w:pPr>
      <w:r w:rsidRPr="00B71FE2">
        <w:rPr>
          <w:i/>
          <w:iCs/>
        </w:rPr>
        <w:t>The T&amp;I team</w:t>
      </w:r>
    </w:p>
    <w:p w14:paraId="2EEB6D42" w14:textId="77777777" w:rsidR="004C6EF6" w:rsidRDefault="004C6EF6" w:rsidP="004C6EF6">
      <w:pPr>
        <w:spacing w:line="276" w:lineRule="auto"/>
        <w:jc w:val="both"/>
      </w:pPr>
    </w:p>
    <w:p w14:paraId="18CB4CDA" w14:textId="77777777" w:rsidR="004C6EF6" w:rsidRDefault="004C6EF6" w:rsidP="004C6EF6">
      <w:pPr>
        <w:spacing w:line="276" w:lineRule="auto"/>
        <w:jc w:val="both"/>
      </w:pPr>
      <w:r>
        <w:t xml:space="preserve">Unlike in international organisations and courts, in Australia an in-house translation and interpreting (T&amp;I) unit was rare, with, perhaps, the exception of SBS Subtitling Unit. SIU employed around 15 translators and interpreters in several languages required by the investigations: German, Hebrew and Yiddish, Latvian, Lithuanian, Polish, Russian, Ukrainian, Serbian and Croatian. Some languages like German and Russian had teams of three or more translators, and during very busy times they would increase to up to five, as was the case with German, and seven, in Russian. There was a library with reference materials and dictionaries. For a free-lance who was used to working alone, mostly translating from home, working as part of a team was a novel experience. It was good to interact with colleagues and consult lawyers and investigators for advice and opinion. The T&amp;I team members came from different ethnic and professional backgrounds, and most of us were native speakers of the required languages. Most had worked professionally as interpreters and translators and had NAATI accreditations. The German translator, Heike Klimaschka, was the only one with a University degree in T&amp;I from the then UWS – the only University in NSW that trained interpreters in those days, and Edytta Super (Hebrew), Irene Ulman (Russian), and I had worked as professional translators and interpreters for several years, learning on the job. Michael Ulman, UNSW academic, had worked on literary translations and had a superb and nuanced sense of the Russian language. Inge Lenz (German), Mira Grinberg (Latvian and Russian) and Tania Ryvchin (Russian and Ukranian) came from professional backgrounds that involved bilingual work. Some team members were found through the NAATI directory, and some, like Eugene Ulman, Mira Grinberg, Tanya </w:t>
      </w:r>
      <w:r>
        <w:lastRenderedPageBreak/>
        <w:t xml:space="preserve">Ryvchin and I, were recommended by other SIU staff or found through community organisations. </w:t>
      </w:r>
      <w:r>
        <w:br/>
      </w:r>
    </w:p>
    <w:p w14:paraId="4A5012CC" w14:textId="77777777" w:rsidR="00DC63CC" w:rsidRDefault="004C6EF6" w:rsidP="004C6EF6">
      <w:pPr>
        <w:spacing w:line="276" w:lineRule="auto"/>
        <w:jc w:val="both"/>
      </w:pPr>
      <w:r>
        <w:t xml:space="preserve">Initially, most of us had been recruited as translators. It came as a surprise to most of us when later we found out that translation work would alternate with interpreting and that we would have to travel interstate and overseas.  Initially, to allow the investigations to begin, the translators and interpreters, translated international diplomatic correspondence and mutual assistance documents. To start an investigation, there were primary documents, many of them archival ones from </w:t>
      </w:r>
      <w:r w:rsidRPr="00536087">
        <w:t>Yad Vashem</w:t>
      </w:r>
      <w:r w:rsidR="00536087" w:rsidRPr="00536087">
        <w:rPr>
          <w:rStyle w:val="FootnoteReference"/>
        </w:rPr>
        <w:footnoteReference w:id="1"/>
      </w:r>
      <w:r w:rsidRPr="00536087">
        <w:t>,</w:t>
      </w:r>
      <w:r>
        <w:t xml:space="preserve"> that Edytta Super translated from Hebrew, and secondary documents providing the background to the conflict and information relating to the region where the investigations would take place or the earlier cases in these regions. Then, from 1988, overseas travels began. The opening of the </w:t>
      </w:r>
      <w:r w:rsidRPr="00B6224E">
        <w:rPr>
          <w:lang w:val="en-US"/>
        </w:rPr>
        <w:t>Eastern</w:t>
      </w:r>
      <w:r>
        <w:rPr>
          <w:lang w:val="en-US"/>
        </w:rPr>
        <w:t xml:space="preserve"> and Central</w:t>
      </w:r>
      <w:r w:rsidRPr="00B6224E">
        <w:rPr>
          <w:lang w:val="en-US"/>
        </w:rPr>
        <w:t xml:space="preserve"> European archives</w:t>
      </w:r>
      <w:r>
        <w:rPr>
          <w:lang w:val="en-US"/>
        </w:rPr>
        <w:t xml:space="preserve"> </w:t>
      </w:r>
      <w:r w:rsidRPr="00B6224E">
        <w:rPr>
          <w:lang w:val="en-US"/>
        </w:rPr>
        <w:t xml:space="preserve">led to the discovery, by the SIU historians and investigators, of post-war investigations and trials that </w:t>
      </w:r>
      <w:r>
        <w:rPr>
          <w:lang w:val="en-US"/>
        </w:rPr>
        <w:t>provided</w:t>
      </w:r>
      <w:r w:rsidRPr="00B6224E">
        <w:rPr>
          <w:lang w:val="en-US"/>
        </w:rPr>
        <w:t xml:space="preserve"> sources highly relevant to the cases under SIU investigation. </w:t>
      </w:r>
      <w:r>
        <w:t xml:space="preserve"> In the Austrian, German, Polish, Soviet and other archives, the German translators </w:t>
      </w:r>
      <w:r w:rsidRPr="00A6023A">
        <w:t>Inge Lenz and Heike Klimaschka</w:t>
      </w:r>
      <w:r>
        <w:t>, helped the SIU historians, lawyers, investigators and analysts to identify archival documents from the other trials relevant to the SIU investigations, which would have to be translated. Overseas trips also involved interpretation during the SIU members consultations with high officials, historians, archivists, senior police, public prosecutors and even some surviving Jewish witnesses. The days in the archives and in meetings and interviews extended into dinners with local officials which could continue into the morning hours, with non-stop interpreting required. As Inge Lenz recalls, she found the strenuous long days the hardest, not to mention the distressing nature of the subject matter.</w:t>
      </w:r>
      <w:r>
        <w:br/>
      </w:r>
      <w:r>
        <w:br/>
        <w:t>Back in the SIU office, over the years, the German-speaking T&amp;I team translated over 1</w:t>
      </w:r>
      <w:r w:rsidR="00DC63CC">
        <w:t>,</w:t>
      </w:r>
      <w:r>
        <w:t>000 documents that were tendered in court in Australia, including documents about Nazi policies, the WWII occupation of Eastern Europe and the persecution of the European Jews, and statements by expert witnesses on the Nazi regime. Many of the archival Nazi documents were written in a specific language that was a product of the Nazi system. In the process, the translators compiled a unique dictionary – a complex glossary of specialised German terms including military, administrative, legal, medical ones as well as abbreviations used by the Nazi regime. Much consultation took place with the Chief historian Professor Kwiet and the investigators to ensure that the Nazi military ranks were translated accurately and consistently</w:t>
      </w:r>
      <w:r>
        <w:rPr>
          <w:rStyle w:val="FootnoteReference"/>
        </w:rPr>
        <w:footnoteReference w:id="2"/>
      </w:r>
      <w:r>
        <w:t xml:space="preserve">. </w:t>
      </w:r>
    </w:p>
    <w:p w14:paraId="7CEE0083" w14:textId="77777777" w:rsidR="00DC63CC" w:rsidRDefault="00DC63CC" w:rsidP="004C6EF6">
      <w:pPr>
        <w:spacing w:line="276" w:lineRule="auto"/>
        <w:jc w:val="both"/>
      </w:pPr>
    </w:p>
    <w:p w14:paraId="51968AB7" w14:textId="77777777" w:rsidR="00CA78E6" w:rsidRDefault="004C6EF6" w:rsidP="00CA78E6">
      <w:pPr>
        <w:spacing w:line="276" w:lineRule="auto"/>
        <w:jc w:val="both"/>
      </w:pPr>
      <w:r>
        <w:t xml:space="preserve">The impact of the subject matter on the translators had its toll. Inge Lenz, who was born in Germany at the end of the war, would later recall that as she grew up in an atmosphere where the war was not discussed, this first encounter, through the translations, with the crimes and atrocities that had taken place during the war made an immense impression on her. Heike Klimaschka describes the impact of working with the subject of the Holocaust as </w:t>
      </w:r>
      <w:r>
        <w:lastRenderedPageBreak/>
        <w:t xml:space="preserve">‘devastating, very traumatic.’ It was important for the German translators to have each other and share their experience – as Heike said about her team members, ‘they were like my </w:t>
      </w:r>
    </w:p>
    <w:p w14:paraId="17546254" w14:textId="77777777" w:rsidR="00CA78E6" w:rsidRDefault="004C6EF6" w:rsidP="00CA78E6">
      <w:pPr>
        <w:spacing w:line="276" w:lineRule="auto"/>
      </w:pPr>
      <w:r>
        <w:t>family.</w:t>
      </w:r>
      <w:r w:rsidR="00CA78E6">
        <w:t xml:space="preserve"> </w:t>
      </w:r>
      <w:r>
        <w:t xml:space="preserve"> It gave me the energy to keep going.’</w:t>
      </w:r>
    </w:p>
    <w:p w14:paraId="1B4CEDCF" w14:textId="77777777" w:rsidR="004C6EF6" w:rsidRDefault="004C6EF6" w:rsidP="00CA78E6">
      <w:pPr>
        <w:spacing w:line="276" w:lineRule="auto"/>
        <w:jc w:val="both"/>
      </w:pPr>
      <w:r>
        <w:br/>
        <w:t>The Russian-language interpreters and translators, Eugene Ulman, Irene Ulman, Mira Grinberg, and Tania Ryvchin performed similar duties, travelling with the SIU teams to the recently opened Soviet and other archives, to help source relevant documents, sight translating the names on archival folders and documents to identify the relevant cases. Some of our colleagues worked in three languages: Tanya Ryvchin interpreted from and into both Russian and Ukrainian, and Mira Grinberg, initially a Latvian translator and interpreter, and later analyst, also worked with Russian. Originally, Mira translated documents</w:t>
      </w:r>
      <w:r w:rsidRPr="00B72CD7">
        <w:t xml:space="preserve"> </w:t>
      </w:r>
      <w:r>
        <w:t xml:space="preserve">in Latvian, including official correspondence, war-time orders, registration lists and the suspects’ background biographical information (thus, the Latvian suspect </w:t>
      </w:r>
      <w:r w:rsidRPr="00201C99">
        <w:t xml:space="preserve">Karlis </w:t>
      </w:r>
      <w:r>
        <w:t>Ozols was a successful chess player). During Latvian trips with the investigation team, Mira interpreted from and into both Latvian and Russian – after all, the officials in the then Soviet Latvian republic spoke Russian whereas potential witnesses and ‘ordinary’ people whom they encountered on a daily basis spoke Latvian. And because war-time archival documents were written in both German and Latvian, Mira worked in tandem with the SIU German translators. Similarly, Tanya Ryvchin had to switch between Ukrainian/English in case of witnesses and Russian/English when interpreting for the officials, although in most cases, including Wagner’s case in the Central Ukraine, witnesses spoke a mixture of Ukrainian and Russian.</w:t>
      </w:r>
    </w:p>
    <w:p w14:paraId="714BE800" w14:textId="77777777" w:rsidR="004C6EF6" w:rsidRDefault="004C6EF6" w:rsidP="004C6EF6">
      <w:pPr>
        <w:spacing w:line="276" w:lineRule="auto"/>
        <w:jc w:val="both"/>
      </w:pPr>
    </w:p>
    <w:p w14:paraId="081044FC" w14:textId="77777777" w:rsidR="00CA78E6" w:rsidRDefault="004C6EF6" w:rsidP="004C6EF6">
      <w:pPr>
        <w:spacing w:line="276" w:lineRule="auto"/>
        <w:jc w:val="both"/>
      </w:pPr>
      <w:r>
        <w:t>Back in the office, Russian-speaking translators, including me, also went back to translations. Apart from the official documents such as memorandums of understanding and official requests and correspondence, we translated archival war-time and post-war documents. These included Soviet Army officers’ official reports the on state of the areas liberated</w:t>
      </w:r>
      <w:r w:rsidRPr="00A554AB">
        <w:t xml:space="preserve"> </w:t>
      </w:r>
      <w:r>
        <w:t>by their military units, with graphic accounts of Nazi atrocities and destructions, and numerous Soviet minutes of interrogations (</w:t>
      </w:r>
      <w:r w:rsidRPr="00B6224E">
        <w:rPr>
          <w:i/>
          <w:iCs/>
        </w:rPr>
        <w:t>protocoly doprosov</w:t>
      </w:r>
      <w:r>
        <w:t>) of witnesses and accused. The latter ones were conducted by KGB officers who interrogated Nazi collaborators - local police (</w:t>
      </w:r>
      <w:r>
        <w:rPr>
          <w:i/>
          <w:iCs/>
        </w:rPr>
        <w:t>politsai</w:t>
      </w:r>
      <w:r>
        <w:t xml:space="preserve">) </w:t>
      </w:r>
    </w:p>
    <w:p w14:paraId="73332A1F" w14:textId="77777777" w:rsidR="00CA78E6" w:rsidRDefault="004C6EF6" w:rsidP="00CA78E6">
      <w:pPr>
        <w:spacing w:line="276" w:lineRule="auto"/>
      </w:pPr>
      <w:r>
        <w:t>and village elders (</w:t>
      </w:r>
      <w:r>
        <w:rPr>
          <w:i/>
          <w:iCs/>
        </w:rPr>
        <w:t>starosty</w:t>
      </w:r>
      <w:r>
        <w:t>).</w:t>
      </w:r>
    </w:p>
    <w:p w14:paraId="0CE3D868" w14:textId="77777777" w:rsidR="004C6EF6" w:rsidRDefault="004C6EF6" w:rsidP="00CA78E6">
      <w:pPr>
        <w:spacing w:line="276" w:lineRule="auto"/>
        <w:jc w:val="both"/>
      </w:pPr>
      <w:r w:rsidRPr="00B6224E">
        <w:rPr>
          <w:lang w:val="en-US"/>
        </w:rPr>
        <w:br/>
      </w:r>
      <w:r>
        <w:t xml:space="preserve">The challenge of translating these historical legal documents lay in their style and expression, so different from those of the current legal documents that we routinely translated or when we interpreted in Australian courts. Questions arose as to how to translate Nazi and Soviet terminology (for example, </w:t>
      </w:r>
      <w:r w:rsidRPr="00670E32">
        <w:t>the Nazi military ranks</w:t>
      </w:r>
      <w:r>
        <w:t xml:space="preserve">), standard expressions and specific style (e.g., </w:t>
      </w:r>
      <w:r w:rsidRPr="00B6224E">
        <w:rPr>
          <w:i/>
          <w:iCs/>
        </w:rPr>
        <w:t>German Fascist occupiers</w:t>
      </w:r>
      <w:r>
        <w:t xml:space="preserve">, </w:t>
      </w:r>
      <w:r>
        <w:rPr>
          <w:i/>
          <w:iCs/>
        </w:rPr>
        <w:t xml:space="preserve">peaceful civilians; </w:t>
      </w:r>
      <w:r w:rsidRPr="00B6224E">
        <w:rPr>
          <w:i/>
          <w:iCs/>
        </w:rPr>
        <w:t>The Great Patriotic War</w:t>
      </w:r>
      <w:r>
        <w:rPr>
          <w:i/>
          <w:iCs/>
        </w:rPr>
        <w:t>; procurators</w:t>
      </w:r>
      <w:r>
        <w:t>). Those hand-writing minutes of interrogations, often difficult to decipher, followed a standard protocol of equally standard questions phrased in Soviet standard language. The interrogators’ questions, seemingly information-seeking, betrayed the assumption of the suspect’s guilt even before the trial: ‘Tell us about your criminal activities…’</w:t>
      </w:r>
      <w:r w:rsidRPr="006467E1">
        <w:t xml:space="preserve"> </w:t>
      </w:r>
      <w:r>
        <w:t>or ‘What can you say about the heinous atrocities you committed…’.</w:t>
      </w:r>
      <w:r w:rsidRPr="00FB1482">
        <w:t xml:space="preserve"> </w:t>
      </w:r>
      <w:r>
        <w:t xml:space="preserve">The suspects’ lengthy narrative answers containing the clearly forced confessions, were equally phrased in a stilted language, ‘Regarding my criminal activity/atrocities I committed, I confess that…, etc.’ To those of us who grew up in the Soviet system, the assumption that mere rumours about someone’s </w:t>
      </w:r>
      <w:r>
        <w:lastRenderedPageBreak/>
        <w:t>collaboration amounted to guilt, and that the allegations of crimes required no further proof, sounded only too familiar.</w:t>
      </w:r>
    </w:p>
    <w:p w14:paraId="1BF1CC0D" w14:textId="77777777" w:rsidR="004C6EF6" w:rsidRDefault="004C6EF6" w:rsidP="004C6EF6">
      <w:pPr>
        <w:spacing w:line="276" w:lineRule="auto"/>
        <w:jc w:val="both"/>
      </w:pPr>
    </w:p>
    <w:p w14:paraId="262DC007" w14:textId="77777777" w:rsidR="00515D24" w:rsidRDefault="004C6EF6" w:rsidP="004C6EF6">
      <w:pPr>
        <w:spacing w:line="276" w:lineRule="auto"/>
        <w:jc w:val="both"/>
      </w:pPr>
      <w:r>
        <w:t>The question we often asked ourselves was whether to remain faithful the original style or adapt it so as to bring</w:t>
      </w:r>
      <w:r w:rsidRPr="00A21CEC">
        <w:t xml:space="preserve"> the </w:t>
      </w:r>
      <w:r>
        <w:t xml:space="preserve">language of the </w:t>
      </w:r>
      <w:r w:rsidRPr="00A21CEC">
        <w:t xml:space="preserve">translations closer to the understanding of the Australian </w:t>
      </w:r>
      <w:r>
        <w:t>investigators and lawyers</w:t>
      </w:r>
      <w:r w:rsidRPr="00A21CEC">
        <w:t xml:space="preserve">, making them </w:t>
      </w:r>
      <w:r>
        <w:t xml:space="preserve">sound </w:t>
      </w:r>
      <w:r w:rsidRPr="00A21CEC">
        <w:t>more familiar and acceptable</w:t>
      </w:r>
      <w:r>
        <w:t xml:space="preserve"> for the use in Australia. In the absence of any guidance in such matters, professional or academic, and well before Laurence Venuti’s theory of ‘domestication’ and ‘foreignization’ of translation became known</w:t>
      </w:r>
      <w:r>
        <w:rPr>
          <w:rStyle w:val="FootnoteReference"/>
        </w:rPr>
        <w:footnoteReference w:id="3"/>
      </w:r>
      <w:r>
        <w:t>,</w:t>
      </w:r>
      <w:r w:rsidRPr="002C5F3F">
        <w:t xml:space="preserve"> </w:t>
      </w:r>
      <w:r>
        <w:t xml:space="preserve">we discussed these and other problems among ourselves. The decision was to remain faithful to the original style, even at the cost of translations being at times too literal and sounding disfluent. Conveying the Soviet ideological language and turn of phrase would enable the Australian teams to better understand the Soviet prosecutors’ and witnesses’ mentality and mindset, and somewhat prepare the investigators for fieldwork in </w:t>
      </w:r>
    </w:p>
    <w:p w14:paraId="442C93F3" w14:textId="77777777" w:rsidR="004C6EF6" w:rsidRDefault="004C6EF6" w:rsidP="00515D24">
      <w:pPr>
        <w:spacing w:line="276" w:lineRule="auto"/>
      </w:pPr>
      <w:r>
        <w:t xml:space="preserve">the Soviet environment. </w:t>
      </w:r>
      <w:r>
        <w:br/>
      </w:r>
    </w:p>
    <w:p w14:paraId="7D34AF16" w14:textId="77777777" w:rsidR="004C6EF6" w:rsidRDefault="004C6EF6" w:rsidP="004C6EF6">
      <w:pPr>
        <w:spacing w:line="276" w:lineRule="auto"/>
        <w:jc w:val="both"/>
        <w:rPr>
          <w:i/>
          <w:iCs/>
        </w:rPr>
      </w:pPr>
      <w:r>
        <w:rPr>
          <w:i/>
          <w:iCs/>
        </w:rPr>
        <w:t>On the road: the interpreters’ experience</w:t>
      </w:r>
    </w:p>
    <w:p w14:paraId="692DC8B7" w14:textId="77777777" w:rsidR="004C6EF6" w:rsidRDefault="004C6EF6" w:rsidP="004C6EF6">
      <w:pPr>
        <w:spacing w:line="276" w:lineRule="auto"/>
        <w:jc w:val="both"/>
        <w:rPr>
          <w:i/>
          <w:iCs/>
        </w:rPr>
      </w:pPr>
    </w:p>
    <w:p w14:paraId="1C79F9B6" w14:textId="77777777" w:rsidR="006D0648" w:rsidRDefault="004C6EF6" w:rsidP="004C6EF6">
      <w:pPr>
        <w:spacing w:line="276" w:lineRule="auto"/>
        <w:jc w:val="both"/>
      </w:pPr>
      <w:r>
        <w:t>In December 1989, the first SIU team</w:t>
      </w:r>
      <w:r w:rsidR="004A0D3D">
        <w:t>s</w:t>
      </w:r>
      <w:r>
        <w:t xml:space="preserve"> left Australia </w:t>
      </w:r>
      <w:r w:rsidR="004A0D3D">
        <w:t>to undertake investigations</w:t>
      </w:r>
      <w:r w:rsidR="006D0648">
        <w:t xml:space="preserve"> in the Soviet Republics of </w:t>
      </w:r>
      <w:r>
        <w:t>Ukraine</w:t>
      </w:r>
      <w:r w:rsidR="006D0648">
        <w:t>, Lithuania and Latvia.  One team under took a mission to Ukraine</w:t>
      </w:r>
      <w:r>
        <w:t xml:space="preserve"> to investigate </w:t>
      </w:r>
      <w:r w:rsidR="006D0648">
        <w:t xml:space="preserve">several cases, including </w:t>
      </w:r>
      <w:r>
        <w:t>Ivan Polyukhovich, a forester who had collaborated with the occupying forces and was a suspect in the mass killings of the local Jewish population. At the end of the war, having retreated with the German army, he found his way to Australia and settled in Adelaide. The investigative team Graham Blewitt, the SIU lawyer and the then Deputy Director, investigators Bruce Huggett and Bob Reid,</w:t>
      </w:r>
      <w:r w:rsidR="006D0648">
        <w:t xml:space="preserve"> and analyst Anne Dowd</w:t>
      </w:r>
      <w:r>
        <w:t xml:space="preserve"> travelled with Eugene Ulman, initially an SIU Russian translator who was somewhat caught by surprise when told that he would be accompanying the investigators to Ukraine. </w:t>
      </w:r>
    </w:p>
    <w:p w14:paraId="0E6D7DCF" w14:textId="77777777" w:rsidR="006D0648" w:rsidRDefault="006D0648" w:rsidP="004C6EF6">
      <w:pPr>
        <w:spacing w:line="276" w:lineRule="auto"/>
        <w:jc w:val="both"/>
      </w:pPr>
    </w:p>
    <w:p w14:paraId="198014A4" w14:textId="77777777" w:rsidR="004C6EF6" w:rsidRDefault="004C6EF6" w:rsidP="004C6EF6">
      <w:pPr>
        <w:spacing w:line="276" w:lineRule="auto"/>
        <w:jc w:val="both"/>
      </w:pPr>
      <w:r>
        <w:t xml:space="preserve">As the SIU chief investigator in the Wagner case and later </w:t>
      </w:r>
      <w:r w:rsidRPr="003F5F69">
        <w:t>the</w:t>
      </w:r>
      <w:r>
        <w:t xml:space="preserve"> ICTY</w:t>
      </w:r>
      <w:r w:rsidRPr="003F5F69">
        <w:t xml:space="preserve"> Chief of Investigations</w:t>
      </w:r>
      <w:r>
        <w:t>, John Ralston, recalls, interpreters were essential ‘the minute the team hit the terrain - we couldn’t survive without them,’ continuing, ‘through the processes of entering the country and the immigration and the customs, to get all the things one needed to sustain oneself and communicate with someone you needed to.’</w:t>
      </w:r>
      <w:r>
        <w:rPr>
          <w:rStyle w:val="FootnoteReference"/>
        </w:rPr>
        <w:footnoteReference w:id="4"/>
      </w:r>
      <w:r>
        <w:t xml:space="preserve"> Graham Blewitt echoes by remembering that while over</w:t>
      </w:r>
      <w:r w:rsidR="004A0D3D">
        <w:t>s</w:t>
      </w:r>
      <w:r>
        <w:t xml:space="preserve">eas interpreters </w:t>
      </w:r>
      <w:r w:rsidRPr="00D30DAC">
        <w:t>allow</w:t>
      </w:r>
      <w:r>
        <w:t>ed</w:t>
      </w:r>
      <w:r w:rsidRPr="00D30DAC">
        <w:t xml:space="preserve"> SIU staff to communicate with officials</w:t>
      </w:r>
      <w:r>
        <w:t xml:space="preserve">, </w:t>
      </w:r>
      <w:r w:rsidRPr="00D30DAC">
        <w:t>witnesses</w:t>
      </w:r>
      <w:r>
        <w:t xml:space="preserve">, </w:t>
      </w:r>
      <w:r w:rsidRPr="00D30DAC">
        <w:t>survivors</w:t>
      </w:r>
      <w:r>
        <w:t xml:space="preserve"> but also</w:t>
      </w:r>
      <w:r w:rsidRPr="00D30DAC">
        <w:t xml:space="preserve"> order meals</w:t>
      </w:r>
      <w:r>
        <w:t>.</w:t>
      </w:r>
      <w:r>
        <w:rPr>
          <w:rStyle w:val="FootnoteReference"/>
        </w:rPr>
        <w:footnoteReference w:id="5"/>
      </w:r>
      <w:r w:rsidRPr="00D30DAC">
        <w:t> </w:t>
      </w:r>
      <w:r w:rsidR="004A0D3D">
        <w:t xml:space="preserve"> </w:t>
      </w:r>
      <w:r>
        <w:t xml:space="preserve">Indeed, Eugene’s interpretation was required from the moment the plane landed in Sheremetevo airport in Moscow throughout all stages of the trip, which included the talks with the officials at the Prosecutor-General’s office in Moscow and the regional prosecutors in Ukraine and later interviews with witnesses. When writing in English, the Soviet prosecutors called themselves ‘procurators,’ the word being a calque of </w:t>
      </w:r>
      <w:r>
        <w:lastRenderedPageBreak/>
        <w:t xml:space="preserve">the Russian </w:t>
      </w:r>
      <w:r>
        <w:rPr>
          <w:i/>
          <w:iCs/>
        </w:rPr>
        <w:t>prokuror</w:t>
      </w:r>
      <w:r>
        <w:t xml:space="preserve">, or ‘prosecutor’ in the Roman law system. The humour of this translation was that it had no meaning for the speakers of Australian English. The name stuck, and no one in the SIU ever called the Soviet prosecutors anything but ‘procurators.’ </w:t>
      </w:r>
    </w:p>
    <w:p w14:paraId="61A49205" w14:textId="77777777" w:rsidR="004C6EF6" w:rsidRDefault="004C6EF6" w:rsidP="004C6EF6">
      <w:pPr>
        <w:spacing w:line="276" w:lineRule="auto"/>
        <w:jc w:val="both"/>
      </w:pPr>
      <w:r>
        <w:t>Having flown with Aeroflot from Moscow to the city of Rovno</w:t>
      </w:r>
      <w:r>
        <w:rPr>
          <w:rStyle w:val="FootnoteReference"/>
        </w:rPr>
        <w:footnoteReference w:id="6"/>
      </w:r>
      <w:r>
        <w:t xml:space="preserve">, a regional centre in Western Ukraine, the Australian team stayed there for several weeks. The investigations were conducted in the remote village of Serniki, some </w:t>
      </w:r>
      <w:r w:rsidRPr="00B77FAE">
        <w:t xml:space="preserve">170 </w:t>
      </w:r>
      <w:r>
        <w:t xml:space="preserve">km away from Rovno, formerly a </w:t>
      </w:r>
      <w:r w:rsidRPr="002F6DAE">
        <w:rPr>
          <w:i/>
          <w:iCs/>
        </w:rPr>
        <w:t>shtetl</w:t>
      </w:r>
      <w:r>
        <w:t xml:space="preserve"> – a Jewish township, and now a village. This was where the mass murders of the local Jewish population had taken place, mostly at the hands of the local ‘grassroot killers,’ to use the scholar </w:t>
      </w:r>
      <w:r w:rsidRPr="002F6DAE">
        <w:t>Wendy Lower</w:t>
      </w:r>
      <w:r>
        <w:t>’s expression. During the interviews that were audio and video recorded, eyewitness placed Ivan Polyukhovich at the site of the execution of the Jewish civilians who were forced to march from the ghetto to the pit, and to other locations where he later killed several other escapees of the massacre. As planned, Eugene interpreted during these interviews, however, as soon as the team had arrived in Rovno, he became aware of a linguistic peculiarity of the local residents – a point to which I will return later.</w:t>
      </w:r>
    </w:p>
    <w:p w14:paraId="0182BDBC" w14:textId="77777777" w:rsidR="004C6EF6" w:rsidRPr="00406AE6" w:rsidRDefault="004C6EF6" w:rsidP="004C6EF6">
      <w:pPr>
        <w:spacing w:line="276" w:lineRule="auto"/>
        <w:jc w:val="both"/>
      </w:pPr>
    </w:p>
    <w:p w14:paraId="0FB588B3" w14:textId="77777777" w:rsidR="004C6EF6" w:rsidRDefault="004C6EF6" w:rsidP="004C6EF6">
      <w:pPr>
        <w:spacing w:line="276" w:lineRule="auto"/>
        <w:jc w:val="both"/>
      </w:pPr>
      <w:r>
        <w:t>It would have been impossible to conduct the investigations</w:t>
      </w:r>
      <w:r w:rsidRPr="007A7573">
        <w:t xml:space="preserve"> </w:t>
      </w:r>
      <w:r>
        <w:t>without the approval and support of the Moscow-based Office of the Prosecutor-General of the USSR, the agency that ensured the support of the authorities in the regions. These regional prosecutors’ offices helped identify witnesses, encouraged them to testify and provided venues for the witness interviews. In addition, the Rovno prosecutors’ office provided local Russian and Ukrainian speaking interpreters to speed up the interviewing process. It turned out to be helpful also because, as I have just mentioned, the local population in that area didn’t speak a standard Russian but a local dialect of Ukrainian mixed with Russian.</w:t>
      </w:r>
    </w:p>
    <w:p w14:paraId="424A05BB" w14:textId="77777777" w:rsidR="004C6EF6" w:rsidRPr="008E7C3F" w:rsidRDefault="004C6EF6" w:rsidP="004C6EF6">
      <w:pPr>
        <w:spacing w:line="276" w:lineRule="auto"/>
        <w:jc w:val="both"/>
      </w:pPr>
    </w:p>
    <w:p w14:paraId="2CCABFF2" w14:textId="77777777" w:rsidR="004C6EF6" w:rsidRDefault="004C6EF6" w:rsidP="004C6EF6">
      <w:pPr>
        <w:spacing w:line="276" w:lineRule="auto"/>
        <w:jc w:val="both"/>
      </w:pPr>
      <w:r>
        <w:t>Working as an interpreter at the SIU took me several times</w:t>
      </w:r>
      <w:r w:rsidRPr="00DC7337">
        <w:t xml:space="preserve"> </w:t>
      </w:r>
      <w:r>
        <w:t xml:space="preserve">to Moscow, but mostly to Ukraine: to Rovno and Serniki (Polyukhovich case), to Kirovograd (Wagner case) and Vinnitsa (Berezovsky case), and also to Kiev (now Kyiv). </w:t>
      </w:r>
    </w:p>
    <w:p w14:paraId="7932835F" w14:textId="77777777" w:rsidR="004C6EF6" w:rsidRDefault="004C6EF6" w:rsidP="004C6EF6">
      <w:pPr>
        <w:spacing w:line="276" w:lineRule="auto"/>
        <w:jc w:val="both"/>
      </w:pPr>
    </w:p>
    <w:p w14:paraId="21E6D943" w14:textId="77777777" w:rsidR="004C6EF6" w:rsidRDefault="004C6EF6" w:rsidP="004C6EF6">
      <w:pPr>
        <w:spacing w:line="276" w:lineRule="auto"/>
        <w:jc w:val="both"/>
      </w:pPr>
      <w:r>
        <w:rPr>
          <w:iCs/>
        </w:rPr>
        <w:t>While the central Moscow authorities were supportive of the SIU’s work</w:t>
      </w:r>
      <w:r w:rsidRPr="00FB7688">
        <w:rPr>
          <w:iCs/>
        </w:rPr>
        <w:t>,</w:t>
      </w:r>
      <w:r>
        <w:t xml:space="preserve"> these investigations took place at a time when the USSR was on the verge of collapse, triggering a domino-effect throughout the Eastern and Central Europe. In 1989 – 1991, the Soviet republics, one by one, declared their independence, with Ukraine seceding in 1991. As my trips took place in these critical 1990-92, I witnessed the unprecedented changes taking place in the USSR and the ways in which Ukraine was asserting its national identity and language. Moscow’s loss of control over the republics reverberated in different ways during the SIU investigations. In Rovno, the tensions between the Moscow Prosecutor-General’s office and the region’s Chief Prosecutor were felt in summer 1990; however, despite the demonstrative display of Ukraine’s growing independence, local authorities did not hinder the investigation, and their relationship with the SIU team remained cordial.  In contrast, in the Vinnitsa region where Mikolay Berezovsky’s case was investigated, the work almost stalled when the local authorities broke their earlier commitment to provide the SIU team with the workforce and </w:t>
      </w:r>
      <w:r>
        <w:lastRenderedPageBreak/>
        <w:t>the machinery to conduct the exhumation</w:t>
      </w:r>
      <w:r w:rsidRPr="003E7162">
        <w:t xml:space="preserve"> </w:t>
      </w:r>
      <w:r>
        <w:t xml:space="preserve">in the village of Gnivan where the local Jewish population had been murdered in a mass grave. As a result, the Australian investigators, the forensic team and the interpreter Tanya Ryvchin had no other option but to begin the exhumation single-handedly, manually, using shovels; only later were they allocated soldiers from the local military base as the work force. </w:t>
      </w:r>
    </w:p>
    <w:p w14:paraId="30299BA9" w14:textId="77777777" w:rsidR="004C6EF6" w:rsidRDefault="004C6EF6" w:rsidP="004C6EF6">
      <w:pPr>
        <w:spacing w:line="276" w:lineRule="auto"/>
        <w:jc w:val="both"/>
      </w:pPr>
    </w:p>
    <w:p w14:paraId="47455E56" w14:textId="77777777" w:rsidR="00B40893" w:rsidRDefault="004C6EF6" w:rsidP="004C6EF6">
      <w:pPr>
        <w:spacing w:line="276" w:lineRule="auto"/>
        <w:jc w:val="both"/>
      </w:pPr>
      <w:r>
        <w:t xml:space="preserve">Like most of my fellow-interpreters during such trips, I interpreted in a large number of different events. In Moscow, the formal negotiations between the Prosecutor-General’s office, on the one hand, and the SIU and the staff of the Australian embassy, on the other, provided a very formal setting – Kyle Wilson who was the Embassy’s </w:t>
      </w:r>
      <w:r w:rsidRPr="00145B1C">
        <w:t xml:space="preserve">Counsellor and Deputy Head of Mission </w:t>
      </w:r>
      <w:r>
        <w:t>spoke unbelievably accent-free, near-native Russian, showing a dazzling understanding of the Soviet environment. During our 24-hour train trip to Rovno where Graham Blewitt (no Aeroflot flights for Graham after his earlier experience!) played chess with the counsel for the prosecution, Greg James QC, I helped to communicate in the rather leisurely exchange with the train attendants about bed linen, tea and meals. Later, in Rovno, after the SIU Director Bob Greenwood QC joined us, interpreting settings ranged from checking in to a hotel and helping the team with meal orders in a restaurant to more business-like and complex but still rather informal meetings with Ukrainian prosecutors and other</w:t>
      </w:r>
    </w:p>
    <w:p w14:paraId="4B40EF12" w14:textId="77777777" w:rsidR="004C6EF6" w:rsidRDefault="004C6EF6" w:rsidP="00B40893">
      <w:pPr>
        <w:spacing w:line="276" w:lineRule="auto"/>
      </w:pPr>
      <w:r>
        <w:t>officials. Rapport building was an important part of the conversations.</w:t>
      </w:r>
      <w:r>
        <w:br/>
      </w:r>
    </w:p>
    <w:p w14:paraId="1520599D" w14:textId="77777777" w:rsidR="00B40893" w:rsidRDefault="004C6EF6" w:rsidP="004C6EF6">
      <w:pPr>
        <w:spacing w:line="276" w:lineRule="auto"/>
        <w:jc w:val="both"/>
      </w:pPr>
      <w:r>
        <w:t xml:space="preserve">A two-and-a-half-hour car drive from Rovno to Serniki transported us to a different world. The village looked strikingly untouched by modern life, as if nothing had changed since the war, neither the dwellings nor the way people dressed or spoke. As we walked along the unpaved dusty road of the main street, boarded with wooden houses and plots, it felt as if we had travelled back in time. Except there were no more Jews in this once-upon-a-time Jewish village. A few houses where the Jews used to live were still standing, now inhabited by the Ukrainian villagers. It felt as if the local witnesses’ earlier testimonies that I had been listening to brought back the past: one day at dawn, 50 years ago, along this very road, the column of over </w:t>
      </w:r>
      <w:r w:rsidR="00B40893">
        <w:t>900</w:t>
      </w:r>
      <w:r>
        <w:t xml:space="preserve"> local Jews were forced to march to the place of their execution, now obscured by a forest. As they were marched, guarded by Ivan Polyukhovich and other local police, armed with rifles, the villagers cautiously stared after them from behind their fences. Later, throughout the day, for many hours, they could hear the shooting. Some of these</w:t>
      </w:r>
    </w:p>
    <w:p w14:paraId="151A87DF" w14:textId="77777777" w:rsidR="00B40893" w:rsidRDefault="004C6EF6" w:rsidP="00B40893">
      <w:pPr>
        <w:spacing w:line="276" w:lineRule="auto"/>
      </w:pPr>
      <w:r>
        <w:t>witnesses were now testifying about these events.</w:t>
      </w:r>
      <w:r>
        <w:br/>
      </w:r>
    </w:p>
    <w:p w14:paraId="35DB3374" w14:textId="77777777" w:rsidR="004C6EF6" w:rsidRDefault="004C6EF6" w:rsidP="00B40893">
      <w:pPr>
        <w:spacing w:line="276" w:lineRule="auto"/>
        <w:jc w:val="both"/>
      </w:pPr>
      <w:r>
        <w:t xml:space="preserve">It is important to remember that most witnesses had been </w:t>
      </w:r>
      <w:r w:rsidRPr="00F61A7C">
        <w:rPr>
          <w:lang w:val="en-US"/>
        </w:rPr>
        <w:t xml:space="preserve">born and brought up under </w:t>
      </w:r>
      <w:r>
        <w:rPr>
          <w:lang w:val="en-US"/>
        </w:rPr>
        <w:t xml:space="preserve">the </w:t>
      </w:r>
      <w:r w:rsidRPr="00F61A7C">
        <w:rPr>
          <w:lang w:val="en-US"/>
        </w:rPr>
        <w:t>Polish rule, but since 1939</w:t>
      </w:r>
      <w:r>
        <w:rPr>
          <w:lang w:val="en-US"/>
        </w:rPr>
        <w:t xml:space="preserve"> they </w:t>
      </w:r>
      <w:r>
        <w:t>were</w:t>
      </w:r>
      <w:r>
        <w:rPr>
          <w:lang w:val="en-US"/>
        </w:rPr>
        <w:t xml:space="preserve"> </w:t>
      </w:r>
      <w:r w:rsidRPr="00F61A7C">
        <w:rPr>
          <w:lang w:val="en-US"/>
        </w:rPr>
        <w:t>Soviet citizens.</w:t>
      </w:r>
      <w:r w:rsidRPr="00AA4771">
        <w:t xml:space="preserve"> </w:t>
      </w:r>
      <w:r>
        <w:t>They were very young when they either witnessed the executions or ‘just knew’ about them as part of the collective memory</w:t>
      </w:r>
      <w:r w:rsidRPr="00F61A7C">
        <w:rPr>
          <w:lang w:val="en-US"/>
        </w:rPr>
        <w:t xml:space="preserve">. </w:t>
      </w:r>
      <w:r>
        <w:t xml:space="preserve">After all, villagers all knew each other and many were inter-related, with half the village having the surname of Polyukhovich, which originated from the name of the region, Poles’ye. This was also the surname of the suspect but everyone in the village remembered him by his nickname, ‘Ivanechko,’ or ‘Johnny’. As already mentioned, in </w:t>
      </w:r>
      <w:r w:rsidRPr="00F61A7C">
        <w:rPr>
          <w:lang w:val="en-US"/>
        </w:rPr>
        <w:t>Poles’ye</w:t>
      </w:r>
      <w:r>
        <w:rPr>
          <w:lang w:val="en-US"/>
        </w:rPr>
        <w:t xml:space="preserve">, </w:t>
      </w:r>
      <w:r>
        <w:t>t</w:t>
      </w:r>
      <w:r>
        <w:rPr>
          <w:lang w:val="en-US"/>
        </w:rPr>
        <w:t>he area</w:t>
      </w:r>
      <w:r w:rsidRPr="002638B2">
        <w:rPr>
          <w:lang w:val="en-US"/>
        </w:rPr>
        <w:t xml:space="preserve"> </w:t>
      </w:r>
      <w:r w:rsidRPr="00F61A7C">
        <w:rPr>
          <w:lang w:val="en-US"/>
        </w:rPr>
        <w:t>known for its swamps and forests</w:t>
      </w:r>
      <w:r>
        <w:rPr>
          <w:lang w:val="en-US"/>
        </w:rPr>
        <w:t xml:space="preserve">, </w:t>
      </w:r>
      <w:r w:rsidRPr="00F61A7C">
        <w:rPr>
          <w:lang w:val="en-US"/>
        </w:rPr>
        <w:t>straddl</w:t>
      </w:r>
      <w:r>
        <w:rPr>
          <w:lang w:val="en-US"/>
        </w:rPr>
        <w:t>ing</w:t>
      </w:r>
      <w:r w:rsidRPr="00F61A7C">
        <w:rPr>
          <w:lang w:val="en-US"/>
        </w:rPr>
        <w:t xml:space="preserve"> Ukraine</w:t>
      </w:r>
      <w:r>
        <w:rPr>
          <w:lang w:val="en-US"/>
        </w:rPr>
        <w:t xml:space="preserve">, </w:t>
      </w:r>
      <w:r w:rsidRPr="00F61A7C">
        <w:rPr>
          <w:lang w:val="en-US"/>
        </w:rPr>
        <w:t>Bielorussia</w:t>
      </w:r>
      <w:r>
        <w:rPr>
          <w:lang w:val="en-US"/>
        </w:rPr>
        <w:t xml:space="preserve"> and Poland, </w:t>
      </w:r>
      <w:r w:rsidRPr="00F61A7C">
        <w:rPr>
          <w:lang w:val="en-US"/>
        </w:rPr>
        <w:t>people</w:t>
      </w:r>
      <w:r>
        <w:t xml:space="preserve"> spoke a dialect that was</w:t>
      </w:r>
      <w:r w:rsidRPr="003B1672">
        <w:t xml:space="preserve"> </w:t>
      </w:r>
      <w:r>
        <w:t xml:space="preserve">different from the standard Ukrainian. Tanya Ryvchin remembers it being phonetically closer </w:t>
      </w:r>
      <w:r>
        <w:lastRenderedPageBreak/>
        <w:t>to Bielorussian, with the intonation and the vocabulary reflecting the Polish influence,</w:t>
      </w:r>
      <w:r>
        <w:rPr>
          <w:rStyle w:val="FootnoteReference"/>
        </w:rPr>
        <w:footnoteReference w:id="7"/>
      </w:r>
      <w:r>
        <w:t xml:space="preserve"> not to mention the imprint of the ‘imperial’ Russian of the Soviet era. As a result, witnesses</w:t>
      </w:r>
      <w:r w:rsidRPr="00EC292F">
        <w:t xml:space="preserve"> </w:t>
      </w:r>
      <w:r>
        <w:t>mixed the languages and could not explain what they spoke, ‘We speak in our own language’ or, ‘</w:t>
      </w:r>
      <w:r w:rsidRPr="00F61A7C">
        <w:rPr>
          <w:lang w:val="en-US"/>
        </w:rPr>
        <w:t>My language is mixed. I use both Russian and Ukrainian words.’</w:t>
      </w:r>
      <w:r>
        <w:rPr>
          <w:lang w:val="en-US"/>
        </w:rPr>
        <w:t xml:space="preserve"> </w:t>
      </w:r>
      <w:r>
        <w:t>It is understandable that the witnesses’ rural culture, life experiences and way of thinking were very different from those of the Australian investigators, and</w:t>
      </w:r>
      <w:r w:rsidRPr="00EC76AE">
        <w:t xml:space="preserve"> </w:t>
      </w:r>
      <w:r>
        <w:t>as it would later transpire, from those of the Australian lawyers and judicial officers. Establishing a rapport with these witnesses took more than accurate interpretation but required the investigators to show sensitivity in order to find a common language.</w:t>
      </w:r>
      <w:r>
        <w:rPr>
          <w:rStyle w:val="FootnoteReference"/>
        </w:rPr>
        <w:footnoteReference w:id="8"/>
      </w:r>
      <w:r>
        <w:t xml:space="preserve"> The fact that the villagers were willing to engage</w:t>
      </w:r>
      <w:r w:rsidRPr="00452C64">
        <w:t xml:space="preserve"> </w:t>
      </w:r>
      <w:r>
        <w:t>with the SIU investigators, in spite of their foreignness, was the investigators’ major achievement. One of the witnesses personally led the SIU team to the location of the mass grave of the Serniki Jews, pointing without hesitation to the place of execution even though the pit had been since covered with a pine forest plantation.</w:t>
      </w:r>
    </w:p>
    <w:p w14:paraId="3551C0E2" w14:textId="77777777" w:rsidR="004C6EF6" w:rsidRDefault="004C6EF6" w:rsidP="004C6EF6">
      <w:pPr>
        <w:spacing w:line="276" w:lineRule="auto"/>
        <w:jc w:val="both"/>
      </w:pPr>
    </w:p>
    <w:p w14:paraId="1C616C7B" w14:textId="77777777" w:rsidR="004C6EF6" w:rsidRPr="00F1290F" w:rsidRDefault="004C6EF6" w:rsidP="004C6EF6">
      <w:pPr>
        <w:spacing w:line="276" w:lineRule="auto"/>
        <w:jc w:val="both"/>
        <w:rPr>
          <w:lang w:val="en-US"/>
        </w:rPr>
      </w:pPr>
      <w:r>
        <w:t xml:space="preserve">The exhumation of the Serniki mass grave in June-July 1990 confirmed that the location had been identified with remarkable precision. When the SIU team and I visited Serniki again at that time, the huge mass grave was unearthed, revealing the remains of the over </w:t>
      </w:r>
      <w:r w:rsidR="008850D1">
        <w:t>8</w:t>
      </w:r>
      <w:r>
        <w:t>50 local Jews, most of them old people, women and children. They were what the Soviet officials euphemistically called ‘peaceful civilians,’ carefully avoiding any reference to the Jews as the target and victims of the Holocaust. The dry sandy soil had preserved the skeletal remains, lying on top of each other, lined up in rows. There was human hair, a pair of eye-glasses, a prosthetic leg, a comb, a toy, and empty casings of the bullets used to kill the Jewish population of Serniki – today these objects can be seen as exhibits in the Sydney Jewish Museum.  One of the photos that I took when we went down into the pit clearly shows a woman’s skeleton holding that of a small child close to her chest. These scenes stay forever in one’s memory as a reminder of how real and recent these events are. For the investigation, this and other exhumations</w:t>
      </w:r>
      <w:r w:rsidRPr="009D4A2E">
        <w:t xml:space="preserve"> </w:t>
      </w:r>
      <w:r>
        <w:t>in</w:t>
      </w:r>
      <w:r w:rsidRPr="009D4A2E">
        <w:t xml:space="preserve"> other locations </w:t>
      </w:r>
      <w:r>
        <w:t>of</w:t>
      </w:r>
      <w:r w:rsidRPr="009D4A2E">
        <w:t xml:space="preserve"> SIU investigat</w:t>
      </w:r>
      <w:r>
        <w:t>ions</w:t>
      </w:r>
      <w:r w:rsidRPr="009D4A2E">
        <w:t xml:space="preserve"> also prove</w:t>
      </w:r>
      <w:r>
        <w:t>d</w:t>
      </w:r>
      <w:r w:rsidRPr="009D4A2E">
        <w:t xml:space="preserve"> </w:t>
      </w:r>
      <w:r>
        <w:t>the accuracy and reliability of</w:t>
      </w:r>
      <w:r w:rsidRPr="009D4A2E">
        <w:t xml:space="preserve"> the witnesses’ recollections</w:t>
      </w:r>
      <w:r>
        <w:t xml:space="preserve">, </w:t>
      </w:r>
      <w:r w:rsidRPr="009D4A2E">
        <w:t>highlight</w:t>
      </w:r>
      <w:r>
        <w:t>ing</w:t>
      </w:r>
      <w:r w:rsidRPr="009D4A2E">
        <w:t xml:space="preserve"> the</w:t>
      </w:r>
      <w:r>
        <w:t xml:space="preserve"> </w:t>
      </w:r>
      <w:r w:rsidRPr="009D4A2E">
        <w:t xml:space="preserve">importance of the SIU </w:t>
      </w:r>
      <w:r>
        <w:t>work</w:t>
      </w:r>
      <w:r w:rsidRPr="009D4A2E">
        <w:t>.</w:t>
      </w:r>
      <w:r>
        <w:t xml:space="preserve"> </w:t>
      </w:r>
      <w:r>
        <w:br/>
      </w:r>
      <w:r>
        <w:br/>
        <w:t xml:space="preserve">What followed for me was interpretation at many other events with countless speeches: at the public ceremony of the Jewish burial of the mass grave in Serniki; during subsequent meetings, official and casual; and during meals and feasts hosted by local authorities. I kept interpreting – consecutively, when the speakers paused for interpretation during a toast or a speech, and simultaneously, trying to keep up with all the parties, English and Russian speaking, when the conversations were fast and dynamic, with speakers overlapping as it happens in lively conversations. These events often continued for hours, and at times I interpreted on an autopilot. Non-stop interpretation continued during guided tours of cities and museums, courtesy of the hosts – the tour of Kiev (Kyiv) was particularly memorable, </w:t>
      </w:r>
      <w:r>
        <w:lastRenderedPageBreak/>
        <w:t>with its spectacular hills along the river Dniepr (Dnipro) and magnificent churches. Also memorable was the visit, outside Vinnitsa, of the estate of the famous 19</w:t>
      </w:r>
      <w:r w:rsidRPr="00F61A7C">
        <w:rPr>
          <w:vertAlign w:val="superscript"/>
        </w:rPr>
        <w:t>th</w:t>
      </w:r>
      <w:r>
        <w:t xml:space="preserve"> century military surgeon,</w:t>
      </w:r>
      <w:r w:rsidRPr="00BA0BD2">
        <w:t xml:space="preserve"> </w:t>
      </w:r>
      <w:r>
        <w:t xml:space="preserve">Dr Pirogov, with his body on display, embalmed according to his own recipe. Interpretation went on, non-stop, in restaurants and offices, and I remember gratefully Tania Ryvchin taking over during the excursion of some local museum and later in a restaurant. In between conversations and toasts, occasionally someone would suggest that the interpreter also needs to have a bite – a suggestion welcomed by all, only to be immediately forgotten. Occasionally, a written statement or a document had to be translated with great urgency, for example, when the team was on its way to a formal meeting with high-level officials. This was done on the back seat of a car, often with my scribbling on some scrap of paper. </w:t>
      </w:r>
      <w:r>
        <w:br/>
      </w:r>
    </w:p>
    <w:p w14:paraId="608B5E02" w14:textId="77777777" w:rsidR="004C6EF6" w:rsidRDefault="004C6EF6" w:rsidP="004C6EF6">
      <w:pPr>
        <w:spacing w:line="276" w:lineRule="auto"/>
        <w:jc w:val="both"/>
      </w:pPr>
      <w:r>
        <w:rPr>
          <w:i/>
          <w:iCs/>
        </w:rPr>
        <w:t>Working as a team</w:t>
      </w:r>
    </w:p>
    <w:p w14:paraId="5DA25CD3" w14:textId="77777777" w:rsidR="004C6EF6" w:rsidRDefault="004C6EF6" w:rsidP="004C6EF6">
      <w:pPr>
        <w:spacing w:line="276" w:lineRule="auto"/>
        <w:jc w:val="both"/>
      </w:pPr>
    </w:p>
    <w:p w14:paraId="38CFEC49" w14:textId="77777777" w:rsidR="00A95B0A" w:rsidRDefault="004C6EF6" w:rsidP="00A95B0A">
      <w:pPr>
        <w:spacing w:line="276" w:lineRule="auto"/>
        <w:jc w:val="both"/>
      </w:pPr>
      <w:r>
        <w:t xml:space="preserve">Despite the intense working regime and the distressing nature of the subject matter, even today most interpreters recollect about the time at the SIU with great fondness, as a time that marked them deeply. They speak with gratitude of being able to have contributed to the SIU’s important work and being part of the common cause of bringing to the light some of the darkest pages of WWII history. This does not mean that interpreters were not affected by the gruesome descriptions of atrocities and murders. Even though nobody refers to the impact of their work as vicarious trauma, all agree that the emotional burden had a significant and lasting impact, much more than the linguistic or interpreting challenges. Most speak of the devastating effect of learning about the mass killings of Jewish population by the Nazis and the local collaborators and recall being particularly affected by the witnesses’ accounts of murders of mothers and children. They found it difficult to interpret the accounts of those collaborators who had been members of the local police, served their prison term and were </w:t>
      </w:r>
      <w:r w:rsidR="00A95B0A">
        <w:t>brought</w:t>
      </w:r>
      <w:r>
        <w:t xml:space="preserve"> in as witnesses. Although affected, interpreters were mindful of always acting professionally</w:t>
      </w:r>
      <w:r w:rsidRPr="005A010B">
        <w:t xml:space="preserve"> </w:t>
      </w:r>
      <w:r>
        <w:t>during the assignments and refraining from showing any emotions, thus acting in accordance with the professional principles of accuracy and impartiality</w:t>
      </w:r>
      <w:r>
        <w:rPr>
          <w:rStyle w:val="FootnoteReference"/>
        </w:rPr>
        <w:footnoteReference w:id="9"/>
      </w:r>
      <w:r>
        <w:t xml:space="preserve">, and none of them ever excused themselves from working on distressing assignments. </w:t>
      </w:r>
      <w:r>
        <w:br/>
      </w:r>
      <w:r>
        <w:br/>
        <w:t xml:space="preserve">Another significant factor of the interpreters’ experience was the investigating teams’ inclusiveness. This inclusive attitude did not start immediately, and initially interpreters and translators were not always briefed by interpretation users which left them with little understanding of the aims of the investigation. Over time the investigators began to brief the interpreters, explain the purpose of the trips, of the archival search and of the interviews. John Ralston, who had been briefing his team’s interpreters from the start, recalls that briefing was critical to the case and to the team, and ‘the better informed they [the interpreters] were, the better they could do their job.’ This situation when the interpreters were included as part of the team was an uncommon one and benefited the quality of their work. As a result, during fieldwork, interpreters often assumed the responsibilities that in fact went beyond their interpreting role: they helped the investigators to build the relationship of trust with the witnesses, at times explaining to the witnesses in their own words what the SIU was doing, </w:t>
      </w:r>
      <w:r>
        <w:lastRenderedPageBreak/>
        <w:t xml:space="preserve">and the importance of giving evidence to the SIU. As in-house interpreters who felt part of the team, rather than being impartial communication facilitators, most of us had a strong sense of loyalty towards the investigators’ team and an equally strong sense that we should act as a cultural conduit. Thus, during informal debriefings, we would explain to the Australian teams culturally and politically non-transparent references and the ‘between the </w:t>
      </w:r>
    </w:p>
    <w:p w14:paraId="1BA879FF" w14:textId="77777777" w:rsidR="004C6EF6" w:rsidRDefault="004C6EF6" w:rsidP="00A95B0A">
      <w:pPr>
        <w:spacing w:line="276" w:lineRule="auto"/>
      </w:pPr>
      <w:r>
        <w:t>lines’ meanings that would otherwise escape the investigators’ attention.</w:t>
      </w:r>
      <w:r>
        <w:br/>
      </w:r>
    </w:p>
    <w:p w14:paraId="295CFE6F" w14:textId="77777777" w:rsidR="004C6EF6" w:rsidRDefault="004C6EF6" w:rsidP="004C6EF6">
      <w:pPr>
        <w:spacing w:line="276" w:lineRule="auto"/>
        <w:jc w:val="both"/>
      </w:pPr>
      <w:r w:rsidRPr="0052509E">
        <w:rPr>
          <w:i/>
          <w:iCs/>
        </w:rPr>
        <w:t>The making of an international interpretation user</w:t>
      </w:r>
    </w:p>
    <w:p w14:paraId="6F99B725" w14:textId="77777777" w:rsidR="004C6EF6" w:rsidRDefault="004C6EF6" w:rsidP="004C6EF6">
      <w:pPr>
        <w:spacing w:line="276" w:lineRule="auto"/>
        <w:jc w:val="both"/>
      </w:pPr>
    </w:p>
    <w:p w14:paraId="771409F0" w14:textId="77777777" w:rsidR="004C6EF6" w:rsidRDefault="004C6EF6" w:rsidP="004C6EF6">
      <w:pPr>
        <w:spacing w:line="276" w:lineRule="auto"/>
        <w:jc w:val="both"/>
      </w:pPr>
      <w:r>
        <w:t xml:space="preserve">In between the trips, back in the office, we translators were tasked with listening to the audio recordings of witness interviews brought back from the </w:t>
      </w:r>
      <w:r w:rsidR="00A95B0A">
        <w:t>missions</w:t>
      </w:r>
      <w:r>
        <w:t xml:space="preserve">. The purpose was to verify the accuracy of the original interpretation in the field, making corrections wherever necessary, and transcribe these interpreted interviews accurately in correct English. Many of these interviews had been interpreted by local interpreters, </w:t>
      </w:r>
      <w:r w:rsidR="00A95B0A">
        <w:t>courtesy</w:t>
      </w:r>
      <w:r>
        <w:t xml:space="preserve"> of the Prosecutors’ office. These local interpreters had a perfect understanding of the witnesses’ Ukrainian/Russian regional dialect, however, their English proficiency wasn’t always suitable for the task, with wrong choices of the English words, and the expression unidiomatic, disfluent and at times misleading. One of the SIU interpreters remembers the confusion caused by the misuse, by one of the local interpreters, of the word ‘camera.’ Unlike in English where ‘camera’ means photographic equipment, the Russian word </w:t>
      </w:r>
      <w:r>
        <w:rPr>
          <w:i/>
          <w:iCs/>
        </w:rPr>
        <w:t>kamera</w:t>
      </w:r>
      <w:r>
        <w:t xml:space="preserve"> means ‘prison cell.’ It is not surprising that the Australian investigators failed to understand why someone was being dragged away to a </w:t>
      </w:r>
      <w:r>
        <w:rPr>
          <w:i/>
          <w:iCs/>
        </w:rPr>
        <w:t>camera</w:t>
      </w:r>
      <w:r>
        <w:t xml:space="preserve">. Other confusion due to such ‘false friends’ occurred because similarly sounding words, </w:t>
      </w:r>
      <w:r>
        <w:rPr>
          <w:i/>
          <w:iCs/>
        </w:rPr>
        <w:t xml:space="preserve">nedelya </w:t>
      </w:r>
      <w:r>
        <w:t xml:space="preserve">in Russian and </w:t>
      </w:r>
      <w:r>
        <w:rPr>
          <w:i/>
          <w:iCs/>
        </w:rPr>
        <w:t xml:space="preserve">nedilya </w:t>
      </w:r>
      <w:r>
        <w:t xml:space="preserve">in Ukrainian, have a different meaning, a ‘week’ in Russian and ‘Sunday’ in Ukrainian. More significantly, if </w:t>
      </w:r>
      <w:r w:rsidRPr="007665ED">
        <w:rPr>
          <w:i/>
          <w:iCs/>
        </w:rPr>
        <w:t>vsekh pobil</w:t>
      </w:r>
      <w:r>
        <w:rPr>
          <w:i/>
          <w:iCs/>
        </w:rPr>
        <w:t>i</w:t>
      </w:r>
      <w:r>
        <w:t xml:space="preserve"> in Russian meant ‘they were all beaten’, the Ukrainian </w:t>
      </w:r>
      <w:r>
        <w:rPr>
          <w:i/>
          <w:iCs/>
        </w:rPr>
        <w:t xml:space="preserve">vsikh pobyly </w:t>
      </w:r>
      <w:r>
        <w:t>meant ‘they were all killed.’ In other words, these interpreted renditions required significant verification and, if necessary, corrections, to produce an accurate English-language version of witness interviews.</w:t>
      </w:r>
    </w:p>
    <w:p w14:paraId="56CE33FF" w14:textId="77777777" w:rsidR="004C6EF6" w:rsidRDefault="004C6EF6" w:rsidP="004C6EF6">
      <w:pPr>
        <w:spacing w:line="276" w:lineRule="auto"/>
        <w:jc w:val="both"/>
      </w:pPr>
    </w:p>
    <w:p w14:paraId="3FADA88F" w14:textId="77777777" w:rsidR="004C6EF6" w:rsidRDefault="004C6EF6" w:rsidP="004C6EF6">
      <w:pPr>
        <w:spacing w:line="276" w:lineRule="auto"/>
        <w:jc w:val="both"/>
      </w:pPr>
      <w:r>
        <w:t xml:space="preserve">As we checked these audio-recorded witness testimonies, we interpreters and translators observed, time and time again, how professionally skilled the SIU investigators were: Bruce Huggett, Bob Reid and John Ralston stood out. My colleagues Mira Grinberg and Tania Ryvchin made the same observations about the investigators they had worked with, Keith </w:t>
      </w:r>
      <w:r w:rsidRPr="00201C99">
        <w:t xml:space="preserve">Conwell </w:t>
      </w:r>
      <w:r>
        <w:t xml:space="preserve">and Paul Malone. Having come to the SIU from NSW and AFP police, they all worked on unchartered territories of international war crimes investigations, in a foreign environment, within a different political system, with witnesses who had different expectations of the legal process and a unique way of expressing themselves even in their own languages. </w:t>
      </w:r>
      <w:r w:rsidRPr="00E01BFE">
        <w:t>And yet, even though the witnesses often had to testify in the</w:t>
      </w:r>
      <w:r>
        <w:t xml:space="preserve"> intimidating environment of the</w:t>
      </w:r>
      <w:r w:rsidRPr="00E01BFE">
        <w:t xml:space="preserve"> prosecutor’s office, through an interpreter, the SIU investigators managed to establish a rapport with </w:t>
      </w:r>
      <w:r>
        <w:t>them</w:t>
      </w:r>
      <w:r w:rsidRPr="00E01BFE">
        <w:t xml:space="preserve">, earn the witnesses’ trust through their openness and professionalism, and </w:t>
      </w:r>
      <w:r>
        <w:t>get them to</w:t>
      </w:r>
      <w:r w:rsidRPr="00E01BFE">
        <w:t xml:space="preserve"> recount their traumatic war-time memories, and later testify in a foreign court.</w:t>
      </w:r>
    </w:p>
    <w:p w14:paraId="04285783" w14:textId="77777777" w:rsidR="004C6EF6" w:rsidRDefault="004C6EF6" w:rsidP="004C6EF6">
      <w:pPr>
        <w:spacing w:line="276" w:lineRule="auto"/>
        <w:jc w:val="both"/>
      </w:pPr>
    </w:p>
    <w:p w14:paraId="1AB1DCBD" w14:textId="77777777" w:rsidR="004C6EF6" w:rsidRDefault="004C6EF6" w:rsidP="004C6EF6">
      <w:pPr>
        <w:spacing w:line="276" w:lineRule="auto"/>
        <w:jc w:val="both"/>
      </w:pPr>
      <w:r>
        <w:lastRenderedPageBreak/>
        <w:t>As we heard in the audio-recorded witness interviews, the investigators asked concrete factual questions in such ways that they triggered the witnesses’ recollections; they were flexible in their interviewing techniques, changing tactics when necessary. They promptly detected inconsistencies and even interpreting errors that distorted the testimony (was it 15 km or 5 because the original 15 km made no sense?). It is true that the witnesses (and the Soviet prosecutors) failed to understand why foreign investigators questioned them about the facts that in the USSR was general knowledge and official version of history. They failed to understand why their accounts based on the local memory and their lived history wasn’t good enough  - didn’t everyone in the village know that Ivancechko the forester collaborated with the German police, and therefore was guilty of murders by association? Nonetheless, they responded to the questions about what they had seen, what colour was Ivanechko’s jacket and the kind of weapon he carried – in detail and cooperatively.</w:t>
      </w:r>
      <w:r>
        <w:rPr>
          <w:rStyle w:val="FootnoteReference"/>
        </w:rPr>
        <w:footnoteReference w:id="10"/>
      </w:r>
    </w:p>
    <w:p w14:paraId="346DEF37" w14:textId="77777777" w:rsidR="004C6EF6" w:rsidRDefault="004C6EF6" w:rsidP="004C6EF6">
      <w:pPr>
        <w:spacing w:line="276" w:lineRule="auto"/>
        <w:jc w:val="both"/>
      </w:pPr>
    </w:p>
    <w:p w14:paraId="787EDF6D" w14:textId="77777777" w:rsidR="004C6EF6" w:rsidRPr="00B56A8A" w:rsidRDefault="004C6EF6" w:rsidP="004C6EF6">
      <w:pPr>
        <w:spacing w:line="276" w:lineRule="auto"/>
        <w:jc w:val="both"/>
      </w:pPr>
      <w:r>
        <w:t>Even though the interpretation by SIU interpreters was effective, it could not make all the cultural references transparent or adapt them to western understanding. Many of the witnesses’ answers were steeped in their rural war-time life, with references to only those colours that they knew – black and white but not brown or dark blue; the seasons were identified by referring to the weather, the state of the crops or the religious festivals; the time of the day was identified by the position of the sun in the sky or the church service, to mention only some of the features of their life.</w:t>
      </w:r>
      <w:r>
        <w:rPr>
          <w:rStyle w:val="FootnoteReference"/>
        </w:rPr>
        <w:footnoteReference w:id="11"/>
      </w:r>
      <w:r>
        <w:t xml:space="preserve"> Nonetheless, at the end of the investigations there was no doubt that the witnesses’ testimonies were accurate, consistent and credible. The SIU rightly felt satisfied and proud with their professional work, confident that this evidence would withstand the test of the court proceedings. Even today, the then defence counsel and retired judge, Michael David describes the investigation work </w:t>
      </w:r>
      <w:r w:rsidRPr="00B56A8A">
        <w:t>undertaken by the SIU</w:t>
      </w:r>
      <w:r>
        <w:t xml:space="preserve"> in </w:t>
      </w:r>
      <w:r w:rsidRPr="00B56A8A">
        <w:t>the case against Poly</w:t>
      </w:r>
      <w:r>
        <w:t>ukhovich</w:t>
      </w:r>
      <w:r w:rsidRPr="00B56A8A">
        <w:t xml:space="preserve"> </w:t>
      </w:r>
      <w:r>
        <w:t>as</w:t>
      </w:r>
      <w:r w:rsidRPr="00B56A8A">
        <w:t xml:space="preserve"> “remarkable”, “sensational</w:t>
      </w:r>
      <w:r>
        <w:t>,</w:t>
      </w:r>
      <w:r w:rsidRPr="00B56A8A">
        <w:t>” and</w:t>
      </w:r>
      <w:r>
        <w:t xml:space="preserve"> that even though it resulted in no convictions</w:t>
      </w:r>
      <w:r w:rsidRPr="00B56A8A">
        <w:t xml:space="preserve"> the entire process was not a failure.</w:t>
      </w:r>
      <w:r>
        <w:rPr>
          <w:rStyle w:val="FootnoteReference"/>
        </w:rPr>
        <w:footnoteReference w:id="12"/>
      </w:r>
      <w:r w:rsidRPr="00B56A8A">
        <w:t>  </w:t>
      </w:r>
      <w:r>
        <w:t xml:space="preserve">Both Michael David and the counsel for the prosecution and a retired judge, </w:t>
      </w:r>
      <w:r w:rsidRPr="00B56A8A">
        <w:t>Greg</w:t>
      </w:r>
      <w:r>
        <w:t xml:space="preserve"> James</w:t>
      </w:r>
      <w:r w:rsidRPr="00B56A8A">
        <w:t xml:space="preserve"> agreed that from </w:t>
      </w:r>
      <w:r>
        <w:t>the</w:t>
      </w:r>
      <w:r w:rsidRPr="00B56A8A">
        <w:t xml:space="preserve"> forensic point of view </w:t>
      </w:r>
      <w:r>
        <w:t>the Polyukhovich case</w:t>
      </w:r>
      <w:r w:rsidRPr="00B56A8A">
        <w:t xml:space="preserve"> was an outstanding </w:t>
      </w:r>
      <w:r>
        <w:t>one</w:t>
      </w:r>
      <w:r w:rsidRPr="00B56A8A">
        <w:t xml:space="preserve"> to be involved in – life changing.</w:t>
      </w:r>
    </w:p>
    <w:p w14:paraId="364E5F9F" w14:textId="77777777" w:rsidR="004C6EF6" w:rsidRDefault="004C6EF6" w:rsidP="004C6EF6">
      <w:pPr>
        <w:spacing w:line="276" w:lineRule="auto"/>
        <w:jc w:val="both"/>
      </w:pPr>
    </w:p>
    <w:p w14:paraId="77B71686" w14:textId="77777777" w:rsidR="004C6EF6" w:rsidRPr="00D26CC8" w:rsidRDefault="004C6EF6" w:rsidP="004C6EF6">
      <w:pPr>
        <w:spacing w:line="276" w:lineRule="auto"/>
        <w:jc w:val="both"/>
        <w:rPr>
          <w:b/>
          <w:bCs/>
        </w:rPr>
      </w:pPr>
      <w:r w:rsidRPr="00D26CC8">
        <w:rPr>
          <w:b/>
          <w:bCs/>
        </w:rPr>
        <w:t>Part 2 – ‘</w:t>
      </w:r>
      <w:r>
        <w:rPr>
          <w:b/>
          <w:bCs/>
        </w:rPr>
        <w:t>It has</w:t>
      </w:r>
      <w:r w:rsidRPr="00D26CC8">
        <w:rPr>
          <w:b/>
          <w:bCs/>
        </w:rPr>
        <w:t xml:space="preserve"> something to do with</w:t>
      </w:r>
      <w:r>
        <w:rPr>
          <w:b/>
          <w:bCs/>
        </w:rPr>
        <w:t xml:space="preserve"> the</w:t>
      </w:r>
      <w:r w:rsidRPr="00D26CC8">
        <w:rPr>
          <w:b/>
          <w:bCs/>
        </w:rPr>
        <w:t xml:space="preserve"> language’</w:t>
      </w:r>
    </w:p>
    <w:p w14:paraId="45E8029F" w14:textId="77777777" w:rsidR="004C6EF6" w:rsidRDefault="004C6EF6" w:rsidP="004C6EF6">
      <w:pPr>
        <w:spacing w:line="276" w:lineRule="auto"/>
        <w:jc w:val="both"/>
      </w:pPr>
    </w:p>
    <w:p w14:paraId="70B975FC" w14:textId="77777777" w:rsidR="004C6EF6" w:rsidRDefault="004C6EF6" w:rsidP="004C6EF6">
      <w:pPr>
        <w:spacing w:line="276" w:lineRule="auto"/>
        <w:jc w:val="both"/>
        <w:rPr>
          <w:i/>
          <w:iCs/>
        </w:rPr>
      </w:pPr>
      <w:r>
        <w:rPr>
          <w:i/>
          <w:iCs/>
        </w:rPr>
        <w:t>The witnesses are coming</w:t>
      </w:r>
    </w:p>
    <w:p w14:paraId="15F037CA" w14:textId="77777777" w:rsidR="004C6EF6" w:rsidRDefault="004C6EF6" w:rsidP="004C6EF6">
      <w:pPr>
        <w:spacing w:line="276" w:lineRule="auto"/>
        <w:jc w:val="both"/>
        <w:rPr>
          <w:i/>
          <w:iCs/>
        </w:rPr>
      </w:pPr>
    </w:p>
    <w:p w14:paraId="3B9901F2" w14:textId="77777777" w:rsidR="004C6EF6" w:rsidRDefault="004C6EF6" w:rsidP="004C6EF6">
      <w:pPr>
        <w:spacing w:line="276" w:lineRule="auto"/>
        <w:jc w:val="both"/>
      </w:pPr>
      <w:r>
        <w:t>When the court hearings began, and w</w:t>
      </w:r>
      <w:r w:rsidRPr="00A34F34">
        <w:t>hen foreign speaking officials and witnesses arrived in Australia</w:t>
      </w:r>
      <w:r>
        <w:t xml:space="preserve">, it was again necessary to seek assistance of SIU interpreters. The Ukrainian witnesses began to arrive in South Australia for the court proceedings in October 1991. The first group was to testify in the Polyukhovich committal hearing, the following groups in the Berezovsky and the Wagner committal hearings, and the final group, in 1992, in the </w:t>
      </w:r>
      <w:r>
        <w:lastRenderedPageBreak/>
        <w:t xml:space="preserve">Polyukhovich trial. A home-style family-run motel in Glenelg was arranged by the SIU and SA DPP, with meals provided in a communal room and a courtyard where the witnesses could mingle. Mira Grinberg, Irene Ulman, Tanya Ryvchin and some other SIU interpreters spent weeks at a time away from their Sydney homes, looking after the witnesses, not only as interpreters but also as minders or carers. They escorted witnesses to and from court, sometimes driving them there, waited with them in a court waiting room before they were called to give evidence, provided explanations, comforted the witnesses after a distressing experience in court, attended to their daily needs and looked after their wellbeing and leisure. This included taking witnesses to the doctors and dentists, ordering medicines, getting glasses prescribed, sharing meals and taking them shopping, mainly in second-hand shops. </w:t>
      </w:r>
    </w:p>
    <w:p w14:paraId="77EC7847" w14:textId="77777777" w:rsidR="004C6EF6" w:rsidRDefault="004C6EF6" w:rsidP="004C6EF6">
      <w:pPr>
        <w:spacing w:line="276" w:lineRule="auto"/>
        <w:jc w:val="both"/>
      </w:pPr>
    </w:p>
    <w:p w14:paraId="45CF340E" w14:textId="77777777" w:rsidR="004C6EF6" w:rsidRPr="00E4300E" w:rsidRDefault="004C6EF6" w:rsidP="004C6EF6">
      <w:pPr>
        <w:spacing w:line="276" w:lineRule="auto"/>
        <w:jc w:val="both"/>
      </w:pPr>
      <w:r>
        <w:t xml:space="preserve">While Ivan Polyukhovich and Heinrich Wagner were both committed to stand trial, at the end of his trial Polyukhovich was acquitted. Many factors are quoted in the other chapters of this book to explain failure to achieve a conviction. ‘Justice delayed is justice denied,’ rightly claims the then the SA </w:t>
      </w:r>
      <w:r w:rsidR="002D1703">
        <w:t xml:space="preserve">Commonwealth </w:t>
      </w:r>
      <w:r>
        <w:t xml:space="preserve">Deputy DPP, Grant Niemann, regarding the 50-year long delay; he also believes that trial by jury is unsuitable in war crimes cases. Defence counsel Michael David quotes the elderly witnesses’ inconsistent testimonies, and historian Konrad Kwiet speaks of ‘a clash between law and history,’ regretting that historical evidence is not always admitted as evidence in court. It is not the aim of this chapter to elaborate on linguistic or intercultural aspects that may have contributed to the outcome of the cases, but rather, it is useful to reflect on how, during the proceedings, two </w:t>
      </w:r>
      <w:r w:rsidRPr="00776763">
        <w:t>distant worlds c</w:t>
      </w:r>
      <w:r>
        <w:t>a</w:t>
      </w:r>
      <w:r w:rsidRPr="00776763">
        <w:t>me together</w:t>
      </w:r>
      <w:r>
        <w:t>: that of a</w:t>
      </w:r>
      <w:r w:rsidRPr="00776763">
        <w:t xml:space="preserve"> western-style, </w:t>
      </w:r>
      <w:r>
        <w:t xml:space="preserve">Anglo-Australian domestic </w:t>
      </w:r>
      <w:r w:rsidRPr="00776763">
        <w:t>court</w:t>
      </w:r>
      <w:r>
        <w:t xml:space="preserve">, </w:t>
      </w:r>
      <w:r w:rsidRPr="00776763">
        <w:t>and the world of witnesses</w:t>
      </w:r>
      <w:r>
        <w:t xml:space="preserve"> and a few remaining victims</w:t>
      </w:r>
      <w:r w:rsidRPr="00776763">
        <w:t xml:space="preserve">, </w:t>
      </w:r>
      <w:r>
        <w:t>most of whom</w:t>
      </w:r>
      <w:r w:rsidRPr="00776763">
        <w:t xml:space="preserve"> </w:t>
      </w:r>
      <w:r>
        <w:t>were</w:t>
      </w:r>
      <w:r w:rsidRPr="00776763">
        <w:t xml:space="preserve"> brought from </w:t>
      </w:r>
      <w:r>
        <w:t>the country where crimes were committed during WWII</w:t>
      </w:r>
      <w:r w:rsidRPr="00776763">
        <w:t xml:space="preserve">. </w:t>
      </w:r>
      <w:r w:rsidR="002D1703">
        <w:t>Was</w:t>
      </w:r>
      <w:r>
        <w:t xml:space="preserve"> the</w:t>
      </w:r>
      <w:r w:rsidRPr="00E4300E">
        <w:t xml:space="preserve"> </w:t>
      </w:r>
      <w:r>
        <w:t xml:space="preserve">Adelaide-based domestic </w:t>
      </w:r>
      <w:r w:rsidRPr="00E4300E">
        <w:t xml:space="preserve">court </w:t>
      </w:r>
      <w:r>
        <w:t xml:space="preserve">able to manage a complex multilingual and multicultural environment and </w:t>
      </w:r>
      <w:r w:rsidRPr="00E4300E">
        <w:t xml:space="preserve">ensure that interpreted </w:t>
      </w:r>
      <w:r>
        <w:t>communication was effective</w:t>
      </w:r>
      <w:r w:rsidRPr="00E4300E">
        <w:t xml:space="preserve"> and the proceedings not compromised </w:t>
      </w:r>
      <w:r>
        <w:t xml:space="preserve">when interacting with </w:t>
      </w:r>
      <w:r w:rsidRPr="00E4300E">
        <w:t>participants from radically different cultural, linguistic, and legal backgrounds</w:t>
      </w:r>
      <w:r>
        <w:t>?</w:t>
      </w:r>
      <w:r>
        <w:br/>
      </w:r>
    </w:p>
    <w:p w14:paraId="390CC518" w14:textId="77777777" w:rsidR="004C6EF6" w:rsidRDefault="004C6EF6" w:rsidP="004C6EF6">
      <w:pPr>
        <w:spacing w:line="276" w:lineRule="auto"/>
        <w:jc w:val="both"/>
      </w:pPr>
      <w:r>
        <w:t xml:space="preserve">Grant Niemann, the South Australia Deputy DPP, was the first to raise the alarm about the case unravelling in court. According to Niemann, it had ‘something to do with the language’. The problems began to manifest themselves when the witnesses began to give evidence, strangely, not only during cross-examinations, but also during the evidence-in-chief by the prosecution who called the witnesses.  Those same Ukrainian witnesses who had proven to be cooperative and reliable during the SIU investigation, gave inconsistent evidence in court, contradicting their previous statements, seemingly did not understand and responded adequately to the counsel’s questions, were at times uncooperative and even short tempered, retracting their own evidence. It was unclear what was happening. Speaking about it today, </w:t>
      </w:r>
      <w:r w:rsidRPr="008F2C23">
        <w:t>John Ralston</w:t>
      </w:r>
      <w:r>
        <w:t xml:space="preserve"> who had worked with the witnesses</w:t>
      </w:r>
      <w:r w:rsidRPr="008F2C23">
        <w:t xml:space="preserve"> </w:t>
      </w:r>
      <w:r>
        <w:t xml:space="preserve">in the field </w:t>
      </w:r>
      <w:r w:rsidRPr="008F2C23">
        <w:t>attributes the</w:t>
      </w:r>
      <w:r>
        <w:t>se changes in</w:t>
      </w:r>
      <w:r w:rsidRPr="008F2C23">
        <w:t xml:space="preserve"> conduct to </w:t>
      </w:r>
      <w:r>
        <w:t>the change of</w:t>
      </w:r>
      <w:r w:rsidRPr="008F2C23">
        <w:t xml:space="preserve"> atmosphere, </w:t>
      </w:r>
      <w:r>
        <w:t>to</w:t>
      </w:r>
      <w:r w:rsidRPr="008F2C23">
        <w:t xml:space="preserve"> the witnesses being </w:t>
      </w:r>
      <w:r>
        <w:t>‘</w:t>
      </w:r>
      <w:r w:rsidRPr="008F2C23">
        <w:t>plucked out</w:t>
      </w:r>
      <w:r>
        <w:t>’</w:t>
      </w:r>
      <w:r w:rsidRPr="008F2C23">
        <w:t xml:space="preserve"> of their natural environment and put into an artificial environment o</w:t>
      </w:r>
      <w:r>
        <w:t>f</w:t>
      </w:r>
      <w:r w:rsidRPr="008F2C23">
        <w:t xml:space="preserve"> Adelaide</w:t>
      </w:r>
      <w:r>
        <w:t xml:space="preserve"> </w:t>
      </w:r>
      <w:r w:rsidRPr="00D26CC8">
        <w:rPr>
          <w:b/>
          <w:bCs/>
        </w:rPr>
        <w:t>–</w:t>
      </w:r>
      <w:r>
        <w:rPr>
          <w:b/>
          <w:bCs/>
        </w:rPr>
        <w:t xml:space="preserve"> </w:t>
      </w:r>
      <w:r>
        <w:t xml:space="preserve">something that would have impacted on anybody; this is not to mention the effect of cross-examination. At the time though, and as it is often the case even today, the first assumption was that the interpretation was the problem. </w:t>
      </w:r>
    </w:p>
    <w:p w14:paraId="39F1F28D" w14:textId="77777777" w:rsidR="004C6EF6" w:rsidRDefault="004C6EF6" w:rsidP="004C6EF6">
      <w:pPr>
        <w:spacing w:line="276" w:lineRule="auto"/>
        <w:jc w:val="both"/>
      </w:pPr>
    </w:p>
    <w:p w14:paraId="11F2D3FB" w14:textId="77777777" w:rsidR="004C6EF6" w:rsidRPr="006C5016" w:rsidRDefault="004C6EF6" w:rsidP="004C6EF6">
      <w:pPr>
        <w:spacing w:line="276" w:lineRule="auto"/>
        <w:jc w:val="both"/>
        <w:rPr>
          <w:i/>
          <w:iCs/>
        </w:rPr>
      </w:pPr>
      <w:r w:rsidRPr="006C5016">
        <w:rPr>
          <w:i/>
          <w:iCs/>
        </w:rPr>
        <w:lastRenderedPageBreak/>
        <w:t>What’s in the interpret</w:t>
      </w:r>
      <w:r>
        <w:rPr>
          <w:i/>
          <w:iCs/>
        </w:rPr>
        <w:t>ation</w:t>
      </w:r>
      <w:r w:rsidRPr="006C5016">
        <w:rPr>
          <w:i/>
          <w:iCs/>
        </w:rPr>
        <w:t>?</w:t>
      </w:r>
    </w:p>
    <w:p w14:paraId="2BBB05F9" w14:textId="77777777" w:rsidR="004C6EF6" w:rsidRDefault="004C6EF6" w:rsidP="004C6EF6">
      <w:pPr>
        <w:spacing w:line="276" w:lineRule="auto"/>
        <w:jc w:val="both"/>
      </w:pPr>
    </w:p>
    <w:p w14:paraId="40E0E75E" w14:textId="77777777" w:rsidR="004C6EF6" w:rsidRDefault="004C6EF6" w:rsidP="004C6EF6">
      <w:pPr>
        <w:spacing w:line="276" w:lineRule="auto"/>
        <w:jc w:val="both"/>
      </w:pPr>
      <w:r>
        <w:t>Interpreters who were called to interpret in court were not the SIU interpreters who, being familiar with the cases, were not allowed to interpret during the proceedings. As is the case today in domestic courts, they received no briefing and were given no background to the cases. Even today the former SIU interpreters hold conflicting views as to whether Russian and/or Ukrainian court interpreting contributed to communication problems, some believing that the interpretation by court interpreters in these languages was accurate, whereas the others point to inaccuracies of content and style in the court transcript, including style editing and raising the register of the witnesses who spoke colloquially. Flying in another Ukrainian interpreter from Canada did not resolve the ongoing communication problems.</w:t>
      </w:r>
    </w:p>
    <w:p w14:paraId="0F18C6AF" w14:textId="77777777" w:rsidR="004C6EF6" w:rsidRDefault="004C6EF6" w:rsidP="004C6EF6">
      <w:pPr>
        <w:spacing w:line="276" w:lineRule="auto"/>
        <w:jc w:val="both"/>
      </w:pPr>
    </w:p>
    <w:p w14:paraId="448AF0A1" w14:textId="77777777" w:rsidR="002D1703" w:rsidRDefault="004C6EF6" w:rsidP="004C6EF6">
      <w:pPr>
        <w:spacing w:line="276" w:lineRule="auto"/>
        <w:jc w:val="both"/>
        <w:rPr>
          <w:i/>
          <w:iCs/>
        </w:rPr>
      </w:pPr>
      <w:r>
        <w:t xml:space="preserve">To what extent were language and other associated problems due to interpretation? According to </w:t>
      </w:r>
      <w:r w:rsidRPr="00B7486B">
        <w:t xml:space="preserve">Sir James Gobbo of the Supreme Court of Victoria </w:t>
      </w:r>
      <w:r>
        <w:t>‘</w:t>
      </w:r>
      <w:r w:rsidRPr="00B7486B">
        <w:t>while judges often found particular witnesses were truthful and impressive, this was rarely said of witnesses whose evidence was given through an interpreter, as such evidence often lost all impact.</w:t>
      </w:r>
      <w:r w:rsidRPr="00DA5A49">
        <w:rPr>
          <w:rStyle w:val="FootnoteReference"/>
          <w:i/>
        </w:rPr>
        <w:t xml:space="preserve"> </w:t>
      </w:r>
      <w:r w:rsidRPr="00DA5A49">
        <w:rPr>
          <w:rStyle w:val="FootnoteReference"/>
          <w:iCs/>
        </w:rPr>
        <w:footnoteReference w:id="13"/>
      </w:r>
      <w:r>
        <w:t xml:space="preserve"> Some experts have been looking into the reasons of such an impact of interpreting on communication. However, in 1991, Berk-Seligson’s seminal work </w:t>
      </w:r>
      <w:r w:rsidRPr="006C5016">
        <w:rPr>
          <w:i/>
          <w:iCs/>
        </w:rPr>
        <w:t>The Bilingual Courtroom: Court Interpreters in the Judicial Process</w:t>
      </w:r>
      <w:r>
        <w:t xml:space="preserve"> had only just been published, and her insights demonstrating the impact of interpreting on the evidence had not yet received the resonance it gained later. The external linguistics expert, the ANU Professor Anna Wierzbicka, brought in by SIU, confirmed what the interpreters had been saying, that is that significant intercultural challenges are caused by the fact that there is no one-for-one equivalent for most words in different languages, including legal terms, and this was likely to impact on the witnesses’ comprehension of the courtroom language. Further, the leading socio-linguist, Professor Diana Eades (UNE)</w:t>
      </w:r>
      <w:r>
        <w:rPr>
          <w:rStyle w:val="FootnoteReference"/>
        </w:rPr>
        <w:footnoteReference w:id="14"/>
      </w:r>
      <w:r>
        <w:t>, who also advised the SIU, pointed to the similarity between the demeanour and responses Aboriginal witnesses and defendants display in court, and those of the Ukrainian witnesses, showing how their reactions and behaviours may impact their perceptions by the court. Thus, she pointed to the fact that witnesses are often unsure of what the legal system expects of them, projecting body language that is different from that of white Anglo-Australian witnesses, and responding in a way that they thought the court expected of them. ‘Gratuitous concurrence,’ that is, agreeing with any statement by a person in a position of power, was a common feature shown by witnesses from both cultures. Consistently with these studies known today, t</w:t>
      </w:r>
      <w:r w:rsidRPr="007E54E0">
        <w:t xml:space="preserve">he </w:t>
      </w:r>
      <w:r>
        <w:t xml:space="preserve">1991 </w:t>
      </w:r>
      <w:r w:rsidRPr="007E54E0">
        <w:t>Report</w:t>
      </w:r>
      <w:r>
        <w:t xml:space="preserve"> </w:t>
      </w:r>
      <w:r w:rsidRPr="006C5016">
        <w:rPr>
          <w:i/>
        </w:rPr>
        <w:t>Access to Interpreters in the Australian Legal System</w:t>
      </w:r>
      <w:r w:rsidRPr="007E54E0">
        <w:t xml:space="preserve"> </w:t>
      </w:r>
      <w:r>
        <w:t>was</w:t>
      </w:r>
      <w:r w:rsidRPr="007E54E0">
        <w:t xml:space="preserve"> </w:t>
      </w:r>
      <w:r>
        <w:t>critical</w:t>
      </w:r>
      <w:r w:rsidRPr="007E54E0">
        <w:t xml:space="preserve"> of those judges who tr</w:t>
      </w:r>
      <w:r>
        <w:t>ied</w:t>
      </w:r>
      <w:r w:rsidRPr="007E54E0">
        <w:t xml:space="preserve"> to determine </w:t>
      </w:r>
      <w:r>
        <w:t>‘</w:t>
      </w:r>
      <w:r w:rsidRPr="007E54E0">
        <w:t>whether the witness is telling the truth through an assessment of a witness</w:t>
      </w:r>
      <w:r>
        <w:t>’</w:t>
      </w:r>
      <w:r w:rsidRPr="007E54E0">
        <w:t>s demeanour.</w:t>
      </w:r>
      <w:r>
        <w:t>’</w:t>
      </w:r>
      <w:r>
        <w:rPr>
          <w:rStyle w:val="FootnoteReference"/>
        </w:rPr>
        <w:footnoteReference w:id="15"/>
      </w:r>
      <w:r w:rsidRPr="007E54E0">
        <w:t xml:space="preserve"> It</w:t>
      </w:r>
      <w:r>
        <w:t xml:space="preserve"> concluded by saying that this approach</w:t>
      </w:r>
      <w:r w:rsidRPr="007E54E0">
        <w:t xml:space="preserve"> frequently leads to misinterpretation of the behaviour and reactions of people who </w:t>
      </w:r>
      <w:r w:rsidRPr="007E54E0">
        <w:lastRenderedPageBreak/>
        <w:t>come from a different culture by those who are not aware of such differences.</w:t>
      </w:r>
      <w:r>
        <w:br/>
      </w:r>
    </w:p>
    <w:p w14:paraId="213E2E27" w14:textId="77777777" w:rsidR="004C6EF6" w:rsidRPr="000D4CB7" w:rsidRDefault="004C6EF6" w:rsidP="004C6EF6">
      <w:pPr>
        <w:spacing w:line="276" w:lineRule="auto"/>
        <w:jc w:val="both"/>
        <w:rPr>
          <w:i/>
          <w:iCs/>
        </w:rPr>
      </w:pPr>
      <w:r w:rsidRPr="000D4CB7">
        <w:rPr>
          <w:i/>
          <w:iCs/>
        </w:rPr>
        <w:t>Analysing courtroom transcript</w:t>
      </w:r>
      <w:r>
        <w:rPr>
          <w:i/>
          <w:iCs/>
        </w:rPr>
        <w:t>s</w:t>
      </w:r>
    </w:p>
    <w:p w14:paraId="697D4397" w14:textId="77777777" w:rsidR="004C6EF6" w:rsidRDefault="004C6EF6" w:rsidP="004C6EF6">
      <w:pPr>
        <w:spacing w:line="276" w:lineRule="auto"/>
        <w:jc w:val="both"/>
      </w:pPr>
    </w:p>
    <w:p w14:paraId="0596E541" w14:textId="77777777" w:rsidR="002D1703" w:rsidRDefault="004C6EF6" w:rsidP="004C6EF6">
      <w:pPr>
        <w:spacing w:line="276" w:lineRule="auto"/>
        <w:jc w:val="both"/>
      </w:pPr>
      <w:r>
        <w:t>In this light, I was given the task of analysing the transcripts</w:t>
      </w:r>
      <w:r w:rsidRPr="00A73E68">
        <w:t xml:space="preserve"> </w:t>
      </w:r>
      <w:r>
        <w:t>of those proceedings that had already taken place, examining instances of miscommunication between the counsel for both sides and the Ukrainian witnesses. The SIU and DPP wanted to know whether there was a reason why the witnesses who had been so convincing and cooperative during the investigations, in court often gave incongruous answers.</w:t>
      </w:r>
      <w:r w:rsidRPr="00A73E68">
        <w:t xml:space="preserve"> </w:t>
      </w:r>
      <w:r>
        <w:t>The court transcripts of the committal hearings were available in English only, with the highlights pointing to areas of miscommunication</w:t>
      </w:r>
      <w:r w:rsidRPr="00B35063">
        <w:t xml:space="preserve"> </w:t>
      </w:r>
      <w:r>
        <w:t>or even communication breakdown, leaving me guessing from the English transcript what the Russian/Ukrainian original could have been, trying to understand what had caused miscommunication. The SIU Director, Graham Blewitt, tendered my analysis as an expert report to draw the judicial officers’ attention to communication problems, first in the Polyukhovich, and later in the Wagner cases.</w:t>
      </w:r>
      <w:r>
        <w:rPr>
          <w:rStyle w:val="FootnoteReference"/>
        </w:rPr>
        <w:footnoteReference w:id="16"/>
      </w:r>
      <w:r>
        <w:t xml:space="preserve"> I think this assignment</w:t>
      </w:r>
    </w:p>
    <w:p w14:paraId="08E5A996" w14:textId="77777777" w:rsidR="002D1703" w:rsidRDefault="004C6EF6" w:rsidP="002D1703">
      <w:pPr>
        <w:spacing w:line="276" w:lineRule="auto"/>
      </w:pPr>
      <w:r>
        <w:t>marked the start of my work as a researcher.</w:t>
      </w:r>
      <w:r>
        <w:br/>
      </w:r>
    </w:p>
    <w:p w14:paraId="6DA79118" w14:textId="77777777" w:rsidR="004C6EF6" w:rsidRDefault="004C6EF6" w:rsidP="004C6EF6">
      <w:pPr>
        <w:spacing w:line="276" w:lineRule="auto"/>
        <w:jc w:val="both"/>
      </w:pPr>
      <w:r>
        <w:t xml:space="preserve">The question arose, whether monolingual transcripts could reveal any answers to these questions. Indeed, some segments of the interaction showed the court interpreters’ raising the register of the witnesses’ speech – something that untrained community interpreters are known to do, causing a misrepresentation of the witnesses’ level of education and ability to express themselves in an articulate way. There were frequent instances of literal, word for word, translation. </w:t>
      </w:r>
      <w:r w:rsidRPr="00912AE4">
        <w:t xml:space="preserve">Thus, the word </w:t>
      </w:r>
      <w:r w:rsidRPr="006C5016">
        <w:rPr>
          <w:i/>
        </w:rPr>
        <w:t>nu</w:t>
      </w:r>
      <w:r>
        <w:rPr>
          <w:iCs/>
        </w:rPr>
        <w:t>,</w:t>
      </w:r>
      <w:r w:rsidRPr="006C5016">
        <w:rPr>
          <w:i/>
        </w:rPr>
        <w:t xml:space="preserve"> </w:t>
      </w:r>
      <w:r w:rsidRPr="006C5016">
        <w:rPr>
          <w:iCs/>
        </w:rPr>
        <w:t>a so-called discourse marker</w:t>
      </w:r>
      <w:r>
        <w:rPr>
          <w:iCs/>
        </w:rPr>
        <w:t xml:space="preserve">, the meaning of </w:t>
      </w:r>
      <w:r w:rsidRPr="00912AE4">
        <w:t xml:space="preserve">which </w:t>
      </w:r>
      <w:r>
        <w:t>is close to that of ‘</w:t>
      </w:r>
      <w:r w:rsidRPr="00912AE4">
        <w:t>well, yes</w:t>
      </w:r>
      <w:r>
        <w:t>, go on’</w:t>
      </w:r>
      <w:r w:rsidRPr="00912AE4">
        <w:t xml:space="preserve"> or </w:t>
      </w:r>
      <w:r>
        <w:t>‘</w:t>
      </w:r>
      <w:r w:rsidRPr="00912AE4">
        <w:t xml:space="preserve">yes, </w:t>
      </w:r>
      <w:r>
        <w:t xml:space="preserve">and?’ and is </w:t>
      </w:r>
      <w:r w:rsidRPr="00912AE4">
        <w:t xml:space="preserve">said with </w:t>
      </w:r>
      <w:r>
        <w:t xml:space="preserve">some </w:t>
      </w:r>
      <w:r w:rsidRPr="00912AE4">
        <w:t xml:space="preserve">reservation and </w:t>
      </w:r>
      <w:r>
        <w:t>anticipation</w:t>
      </w:r>
      <w:r w:rsidRPr="00912AE4">
        <w:t>,</w:t>
      </w:r>
      <w:r>
        <w:t xml:space="preserve"> inviting the speaker to continue, was</w:t>
      </w:r>
      <w:r w:rsidRPr="00912AE4">
        <w:t xml:space="preserve"> often translated literally as </w:t>
      </w:r>
      <w:r>
        <w:t>a more aggressive-sounding ‘</w:t>
      </w:r>
      <w:r w:rsidRPr="00912AE4">
        <w:t>so?</w:t>
      </w:r>
      <w:r>
        <w:t>’</w:t>
      </w:r>
      <w:r w:rsidRPr="00912AE4">
        <w:t xml:space="preserve"> or </w:t>
      </w:r>
      <w:r>
        <w:t>‘</w:t>
      </w:r>
      <w:r w:rsidRPr="00912AE4">
        <w:t>well?</w:t>
      </w:r>
      <w:r>
        <w:t xml:space="preserve">’ Requests phrased as </w:t>
      </w:r>
      <w:r w:rsidRPr="00E251B1">
        <w:t>questions</w:t>
      </w:r>
      <w:r>
        <w:t>, for example,</w:t>
      </w:r>
      <w:r w:rsidRPr="00E251B1">
        <w:t xml:space="preserve"> </w:t>
      </w:r>
      <w:r>
        <w:t xml:space="preserve">those </w:t>
      </w:r>
      <w:r w:rsidRPr="00E251B1">
        <w:t xml:space="preserve">beginning with </w:t>
      </w:r>
      <w:r>
        <w:t>‘</w:t>
      </w:r>
      <w:r w:rsidRPr="00E251B1">
        <w:t xml:space="preserve">Can you tell </w:t>
      </w:r>
      <w:r>
        <w:t>us what you know about this man?’</w:t>
      </w:r>
      <w:r w:rsidRPr="00E251B1">
        <w:t xml:space="preserve"> </w:t>
      </w:r>
      <w:r>
        <w:t xml:space="preserve">were translated literally, as a genuine question, attracting the </w:t>
      </w:r>
      <w:r w:rsidRPr="00E251B1">
        <w:t xml:space="preserve">affirmative </w:t>
      </w:r>
      <w:r>
        <w:t>‘</w:t>
      </w:r>
      <w:r w:rsidRPr="00E251B1">
        <w:t>Yes, I can</w:t>
      </w:r>
      <w:r>
        <w:t>,’</w:t>
      </w:r>
      <w:r w:rsidRPr="00E251B1">
        <w:t xml:space="preserve"> </w:t>
      </w:r>
      <w:r>
        <w:t>without any further</w:t>
      </w:r>
      <w:r w:rsidRPr="00E251B1">
        <w:t xml:space="preserve"> information.  </w:t>
      </w:r>
      <w:r>
        <w:t>In</w:t>
      </w:r>
      <w:r w:rsidRPr="00E251B1">
        <w:t xml:space="preserve"> Russian</w:t>
      </w:r>
      <w:r>
        <w:t xml:space="preserve"> or </w:t>
      </w:r>
      <w:r w:rsidRPr="00E251B1">
        <w:t>Ukrainian</w:t>
      </w:r>
      <w:r>
        <w:t xml:space="preserve"> requests would be phrased in the imperative, and not the interrogative, mode: ‘</w:t>
      </w:r>
      <w:r w:rsidRPr="00E251B1">
        <w:t xml:space="preserve">Tell us whatever you know </w:t>
      </w:r>
      <w:r>
        <w:t>about</w:t>
      </w:r>
      <w:r w:rsidRPr="00E251B1">
        <w:t xml:space="preserve"> th</w:t>
      </w:r>
      <w:r>
        <w:t>is</w:t>
      </w:r>
      <w:r w:rsidRPr="00E251B1">
        <w:t xml:space="preserve"> man.</w:t>
      </w:r>
      <w:r>
        <w:t>’ A competent interpreter would have rephrased this request accordingly, reflecting the intention, rather than leading a witness to believe that it was a question seeking information and only requiring a ‘yes’ or ‘no’.</w:t>
      </w:r>
      <w:r>
        <w:br/>
      </w:r>
    </w:p>
    <w:p w14:paraId="50762900" w14:textId="77777777" w:rsidR="004C6EF6" w:rsidRDefault="004C6EF6" w:rsidP="004C6EF6">
      <w:pPr>
        <w:spacing w:line="276" w:lineRule="auto"/>
        <w:jc w:val="both"/>
      </w:pPr>
      <w:r>
        <w:t xml:space="preserve">Some other communication challenges could be attributed to the witnesses speaking in the already mentioned regional dialects that included some deceptive cognates – ‘false friends’ – between Ukrainian and Russian. As mentioned in Part 1, the most striking example was </w:t>
      </w:r>
      <w:r w:rsidRPr="00425DDB">
        <w:rPr>
          <w:i/>
        </w:rPr>
        <w:t>vsekh pobili</w:t>
      </w:r>
      <w:r w:rsidRPr="00BF70A0">
        <w:t xml:space="preserve"> </w:t>
      </w:r>
      <w:r>
        <w:t xml:space="preserve">which </w:t>
      </w:r>
      <w:r w:rsidRPr="00BF70A0">
        <w:t>in Russian mean</w:t>
      </w:r>
      <w:r>
        <w:t>s</w:t>
      </w:r>
      <w:r w:rsidRPr="00BF70A0">
        <w:t xml:space="preserve"> </w:t>
      </w:r>
      <w:r>
        <w:t>‘</w:t>
      </w:r>
      <w:r w:rsidRPr="00BF70A0">
        <w:t>they were all beaten up</w:t>
      </w:r>
      <w:r>
        <w:t>’</w:t>
      </w:r>
      <w:r w:rsidRPr="00BF70A0">
        <w:t xml:space="preserve"> while in </w:t>
      </w:r>
      <w:r>
        <w:t>the local</w:t>
      </w:r>
      <w:r w:rsidRPr="00BF70A0">
        <w:t xml:space="preserve"> dialect of Ukrainian </w:t>
      </w:r>
      <w:r w:rsidRPr="00425DDB">
        <w:rPr>
          <w:i/>
        </w:rPr>
        <w:t>vsikh pobyly</w:t>
      </w:r>
      <w:r w:rsidRPr="00BF70A0">
        <w:t xml:space="preserve"> mean</w:t>
      </w:r>
      <w:r>
        <w:t>t</w:t>
      </w:r>
      <w:r w:rsidRPr="00BF70A0">
        <w:t xml:space="preserve"> </w:t>
      </w:r>
      <w:r>
        <w:t>‘</w:t>
      </w:r>
      <w:r w:rsidRPr="00BF70A0">
        <w:t>they were all killed</w:t>
      </w:r>
      <w:r>
        <w:t>’. Some questions were answered using references to the witnesses’ life on the land, rather than using a precise western system of measures that required a reference to a calendar and a clock. A</w:t>
      </w:r>
      <w:r w:rsidRPr="00912AE4">
        <w:t xml:space="preserve">gricultural and religious </w:t>
      </w:r>
      <w:r>
        <w:t xml:space="preserve">realia including </w:t>
      </w:r>
      <w:r w:rsidRPr="00912AE4">
        <w:t>the height of the crops, the harvesting of buckwheat</w:t>
      </w:r>
      <w:r>
        <w:t xml:space="preserve"> identified seasons, </w:t>
      </w:r>
      <w:r w:rsidRPr="00912AE4">
        <w:t xml:space="preserve">and </w:t>
      </w:r>
      <w:r w:rsidRPr="00912AE4">
        <w:lastRenderedPageBreak/>
        <w:t>festivals such as Easter, Whitsunday</w:t>
      </w:r>
      <w:r>
        <w:t xml:space="preserve"> and</w:t>
      </w:r>
      <w:r w:rsidRPr="00912AE4">
        <w:t xml:space="preserve"> Transfiguration</w:t>
      </w:r>
      <w:r>
        <w:t xml:space="preserve"> indicated seasons and months. The position of the sun in the sky and by church services, such as matins or vespers, and not the hours, pointed to </w:t>
      </w:r>
      <w:r w:rsidR="002F7BA5">
        <w:t xml:space="preserve">the </w:t>
      </w:r>
      <w:r>
        <w:t>time of the day.</w:t>
      </w:r>
      <w:r w:rsidRPr="00912AE4">
        <w:t xml:space="preserve"> </w:t>
      </w:r>
      <w:r>
        <w:t xml:space="preserve">However, these ‘peculiarities’ had caused no misunderstanding during the investigation as the investigators developed a thorough understanding of the witnesses’ habitat and way of life, both back then during the war and at the time of the investigations. In court, however, when the witnesses’ testimonies were examined and challenged by lawyers, their inability to give answers in metric terms, without further elucidation by the party that had called them, would have made their answers sound if not unreliable then at least peculiar, possibly casting unconscious doubt on the accuracy and reliability of their memory. As the SIU interpreters who helped to look after the witnesses in Adelaide recalled, the witnesses’ feeling misunderstood and challenged in court caused them distress. </w:t>
      </w:r>
      <w:r>
        <w:br/>
      </w:r>
      <w:r>
        <w:br/>
        <w:t xml:space="preserve">Significant interactions </w:t>
      </w:r>
      <w:r w:rsidRPr="0040109C">
        <w:t>challenges</w:t>
      </w:r>
      <w:r>
        <w:t xml:space="preserve"> were </w:t>
      </w:r>
      <w:r w:rsidRPr="0040109C">
        <w:t xml:space="preserve">triggered </w:t>
      </w:r>
      <w:r>
        <w:t>by t</w:t>
      </w:r>
      <w:r w:rsidRPr="0040109C">
        <w:t xml:space="preserve">he </w:t>
      </w:r>
      <w:r>
        <w:t xml:space="preserve">lawyers’ </w:t>
      </w:r>
      <w:r w:rsidRPr="0040109C">
        <w:t>specialised courtroom discourse</w:t>
      </w:r>
      <w:r>
        <w:t>. Unlike the investigators, the lawyers followed the rules of evidence, phrasing their questions strategically, the ones in the evidence-in-chief being non-leading and the ones during cross-examination coercive. Both types of questions (</w:t>
      </w:r>
      <w:r>
        <w:rPr>
          <w:lang w:val="en-US"/>
        </w:rPr>
        <w:t>“</w:t>
      </w:r>
      <w:r w:rsidRPr="00425DDB">
        <w:rPr>
          <w:lang w:val="en-US"/>
        </w:rPr>
        <w:t>Do you mind...</w:t>
      </w:r>
      <w:r>
        <w:rPr>
          <w:lang w:val="en-US"/>
        </w:rPr>
        <w:t>’</w:t>
      </w:r>
      <w:r w:rsidRPr="00425DDB">
        <w:rPr>
          <w:lang w:val="en-US"/>
        </w:rPr>
        <w:t xml:space="preserve">, </w:t>
      </w:r>
      <w:r>
        <w:rPr>
          <w:lang w:val="en-US"/>
        </w:rPr>
        <w:t>‘</w:t>
      </w:r>
      <w:r w:rsidRPr="00425DDB">
        <w:rPr>
          <w:lang w:val="en-US"/>
        </w:rPr>
        <w:t>Do you appreciate...</w:t>
      </w:r>
      <w:r>
        <w:rPr>
          <w:lang w:val="en-US"/>
        </w:rPr>
        <w:t>’</w:t>
      </w:r>
      <w:r w:rsidRPr="00425DDB">
        <w:rPr>
          <w:lang w:val="en-US"/>
        </w:rPr>
        <w:t xml:space="preserve">, </w:t>
      </w:r>
      <w:r>
        <w:rPr>
          <w:lang w:val="en-US"/>
        </w:rPr>
        <w:t>‘</w:t>
      </w:r>
      <w:r w:rsidRPr="00425DDB">
        <w:rPr>
          <w:lang w:val="en-US"/>
        </w:rPr>
        <w:t>May I suggest...</w:t>
      </w:r>
      <w:r>
        <w:rPr>
          <w:lang w:val="en-US"/>
        </w:rPr>
        <w:t>’</w:t>
      </w:r>
      <w:r w:rsidRPr="003F3EC7">
        <w:t xml:space="preserve"> </w:t>
      </w:r>
      <w:r>
        <w:t>‘I put it to you…’ ‘Was there a time when…’) as well as ‘tag questions’ (‘You weren’t there, were you?’) don’t have immediate grammatical and even lexical equivalents in other languages, and don’t lend themselves to being easily interpreted while preserving their intention. Only a very experienced, university trained interpreter, would be aware of the nature of these questions and interpret them while preserving their meaning and intention. Some other questions were problematic because of their structure and length. They included</w:t>
      </w:r>
      <w:r w:rsidR="002F7BA5">
        <w:t>,</w:t>
      </w:r>
      <w:r>
        <w:t xml:space="preserve"> frequently asked by lawyers</w:t>
      </w:r>
      <w:r w:rsidR="002F7BA5">
        <w:t>,</w:t>
      </w:r>
      <w:r>
        <w:t xml:space="preserve"> long double-barrelled questions which would be difficult to analyse and remember even in the original, let alone to interpret accurately; they were further complicated by the time delays of the consecutive interpretation making it difficult to grasp their entire meaning. </w:t>
      </w:r>
    </w:p>
    <w:p w14:paraId="600FB266" w14:textId="77777777" w:rsidR="004C6EF6" w:rsidRDefault="004C6EF6" w:rsidP="004C6EF6">
      <w:pPr>
        <w:spacing w:line="276" w:lineRule="auto"/>
        <w:jc w:val="both"/>
      </w:pPr>
    </w:p>
    <w:p w14:paraId="553BE53F" w14:textId="77777777" w:rsidR="004C6EF6" w:rsidRPr="00E251B1" w:rsidRDefault="002F7BA5" w:rsidP="004C6EF6">
      <w:pPr>
        <w:pStyle w:val="ListParagraph"/>
        <w:spacing w:line="276" w:lineRule="auto"/>
        <w:ind w:left="720"/>
        <w:jc w:val="both"/>
      </w:pPr>
      <w:r>
        <w:t>“</w:t>
      </w:r>
      <w:r w:rsidR="004C6EF6" w:rsidRPr="00E251B1">
        <w:t>Q:</w:t>
      </w:r>
      <w:r w:rsidR="004C6EF6">
        <w:t xml:space="preserve"> </w:t>
      </w:r>
      <w:r w:rsidR="004C6EF6" w:rsidRPr="00E251B1">
        <w:t xml:space="preserve">Do you remember him asking you this question, and this was a question that Mr Malone asked you, and he was reading from the statement that you'd given Mr Podrutskiy before, and he said this, </w:t>
      </w:r>
      <w:r w:rsidR="004C6EF6">
        <w:t>‘</w:t>
      </w:r>
      <w:r w:rsidR="004C6EF6" w:rsidRPr="00E251B1">
        <w:t xml:space="preserve">I'm reading from our translation of your previous protocol from 1987 and it states </w:t>
      </w:r>
      <w:r w:rsidR="004C6EF6">
        <w:t>“</w:t>
      </w:r>
      <w:r w:rsidR="004C6EF6" w:rsidRPr="00E251B1">
        <w:t>when I saw Granovska I heard that she was asking the policeman who was guarding the column - she said her husband was Russian</w:t>
      </w:r>
      <w:r w:rsidR="004C6EF6">
        <w:t>”</w:t>
      </w:r>
      <w:r w:rsidR="004C6EF6" w:rsidRPr="00E251B1">
        <w:t>.</w:t>
      </w:r>
      <w:r w:rsidR="004C6EF6">
        <w:t>’</w:t>
      </w:r>
      <w:r w:rsidR="004C6EF6" w:rsidRPr="00E251B1">
        <w:t xml:space="preserve"> [...] And instead of answering her the policeman beat her with the lash and also beat the child.</w:t>
      </w:r>
      <w:r w:rsidR="004C6EF6">
        <w:t>’</w:t>
      </w:r>
      <w:r w:rsidR="004C6EF6" w:rsidRPr="00E251B1">
        <w:t xml:space="preserve">  Is that correct.</w:t>
      </w:r>
      <w:r>
        <w:t>”</w:t>
      </w:r>
      <w:r w:rsidR="004C6EF6">
        <w:rPr>
          <w:rStyle w:val="FootnoteReference"/>
        </w:rPr>
        <w:footnoteReference w:id="17"/>
      </w:r>
    </w:p>
    <w:p w14:paraId="75D674D4" w14:textId="77777777" w:rsidR="004C6EF6" w:rsidRPr="00E251B1" w:rsidRDefault="004C6EF6" w:rsidP="004C6EF6">
      <w:pPr>
        <w:spacing w:line="276" w:lineRule="auto"/>
        <w:jc w:val="both"/>
      </w:pPr>
      <w:r>
        <w:t xml:space="preserve">As I said, there was no Russian/Ukrainian audio recording to verify whether the interpretation maintained the accuracy and the intention of these questions when interpreted to the witnesses. </w:t>
      </w:r>
    </w:p>
    <w:p w14:paraId="3F4CEC24" w14:textId="77777777" w:rsidR="004C6EF6" w:rsidRPr="00E251B1" w:rsidRDefault="004C6EF6" w:rsidP="004C6EF6">
      <w:pPr>
        <w:pStyle w:val="ListParagraph"/>
        <w:spacing w:line="276" w:lineRule="auto"/>
        <w:jc w:val="both"/>
      </w:pPr>
      <w:r>
        <w:lastRenderedPageBreak/>
        <w:t xml:space="preserve">Some of the witnesses’ responses clearly indicate that they couldn’t understand what they were being asked, either because the question was vague in its original or because its interpretation was inept, for example when </w:t>
      </w:r>
      <w:r w:rsidRPr="00E251B1">
        <w:t>non-leading questions</w:t>
      </w:r>
      <w:r>
        <w:t>,</w:t>
      </w:r>
      <w:r w:rsidRPr="00E251B1">
        <w:t xml:space="preserve"> unfamiliar to the witnesses </w:t>
      </w:r>
      <w:r>
        <w:t>from the</w:t>
      </w:r>
      <w:r w:rsidRPr="00E251B1">
        <w:t xml:space="preserve"> Soviet </w:t>
      </w:r>
      <w:r>
        <w:t>system</w:t>
      </w:r>
      <w:r w:rsidRPr="00E251B1">
        <w:t xml:space="preserve">, </w:t>
      </w:r>
      <w:r>
        <w:t>were asked</w:t>
      </w:r>
      <w:r w:rsidRPr="00E251B1">
        <w:t xml:space="preserve">.  </w:t>
      </w:r>
    </w:p>
    <w:p w14:paraId="050BF620" w14:textId="77777777" w:rsidR="004C6EF6" w:rsidRDefault="002F7BA5" w:rsidP="002F7BA5">
      <w:pPr>
        <w:pStyle w:val="ListParagraph"/>
        <w:ind w:left="360"/>
      </w:pPr>
      <w:r>
        <w:t>“</w:t>
      </w:r>
      <w:r w:rsidR="004C6EF6" w:rsidRPr="00E251B1">
        <w:t>Q:</w:t>
      </w:r>
      <w:r w:rsidR="004C6EF6" w:rsidRPr="00E251B1">
        <w:tab/>
        <w:t>Was there a time after that when the Germans came?</w:t>
      </w:r>
      <w:r w:rsidR="004C6EF6">
        <w:br/>
      </w:r>
      <w:r w:rsidR="004C6EF6" w:rsidRPr="00E251B1">
        <w:t>A:</w:t>
      </w:r>
      <w:r w:rsidR="004C6EF6" w:rsidRPr="00E251B1">
        <w:tab/>
        <w:t>In which time? I don</w:t>
      </w:r>
      <w:r w:rsidR="004C6EF6">
        <w:t>’</w:t>
      </w:r>
      <w:r w:rsidR="004C6EF6" w:rsidRPr="00E251B1">
        <w:t>t understand.</w:t>
      </w:r>
      <w:r>
        <w:t>”</w:t>
      </w:r>
    </w:p>
    <w:p w14:paraId="36EDE352" w14:textId="77777777" w:rsidR="004C6EF6" w:rsidRDefault="004C6EF6" w:rsidP="004C6EF6">
      <w:pPr>
        <w:pStyle w:val="ListParagraph"/>
        <w:spacing w:line="276" w:lineRule="auto"/>
        <w:jc w:val="both"/>
      </w:pPr>
      <w:r>
        <w:t xml:space="preserve">Persistent repetitive questions, with variations in their phrasing ever so slight that they would not have a ready-made grammatical equivalent in languages other than English, caused a hostile reaction from witnesses and even the retraction of their earlier statements: </w:t>
      </w:r>
    </w:p>
    <w:p w14:paraId="5F369562" w14:textId="77777777" w:rsidR="002F7BA5" w:rsidRDefault="002F7BA5" w:rsidP="002F7BA5">
      <w:pPr>
        <w:pStyle w:val="ListParagraph"/>
        <w:spacing w:after="0" w:afterAutospacing="0"/>
        <w:ind w:left="720"/>
        <w:rPr>
          <w:lang w:val="en-US"/>
        </w:rPr>
      </w:pPr>
      <w:r>
        <w:rPr>
          <w:lang w:val="en-US"/>
        </w:rPr>
        <w:t>“</w:t>
      </w:r>
      <w:r w:rsidR="004C6EF6" w:rsidRPr="00140A68">
        <w:rPr>
          <w:lang w:val="en-US"/>
        </w:rPr>
        <w:t>Q:</w:t>
      </w:r>
      <w:r w:rsidR="004C6EF6" w:rsidRPr="00140A68">
        <w:rPr>
          <w:lang w:val="en-US"/>
        </w:rPr>
        <w:tab/>
        <w:t>Had you seen him before the occasion that you saw the Jews led into the pit.</w:t>
      </w:r>
      <w:r w:rsidR="004C6EF6">
        <w:rPr>
          <w:lang w:val="en-US"/>
        </w:rPr>
        <w:br/>
      </w:r>
      <w:r w:rsidR="004C6EF6" w:rsidRPr="00A3429F">
        <w:rPr>
          <w:lang w:val="en-US"/>
        </w:rPr>
        <w:t>A:</w:t>
      </w:r>
      <w:r w:rsidR="004C6EF6" w:rsidRPr="00A3429F">
        <w:rPr>
          <w:lang w:val="en-US"/>
        </w:rPr>
        <w:tab/>
        <w:t>No, I did not see. Did not see. Did not see.</w:t>
      </w:r>
      <w:r w:rsidR="004C6EF6">
        <w:rPr>
          <w:lang w:val="en-US"/>
        </w:rPr>
        <w:t xml:space="preserve"> </w:t>
      </w:r>
      <w:r w:rsidR="004C6EF6" w:rsidRPr="00A3429F">
        <w:rPr>
          <w:lang w:val="en-US"/>
        </w:rPr>
        <w:t>(...)</w:t>
      </w:r>
      <w:r w:rsidR="004C6EF6">
        <w:rPr>
          <w:lang w:val="en-US"/>
        </w:rPr>
        <w:br/>
      </w:r>
      <w:r w:rsidR="004C6EF6" w:rsidRPr="00140A68">
        <w:rPr>
          <w:lang w:val="en-US"/>
        </w:rPr>
        <w:t>Q:</w:t>
      </w:r>
      <w:r w:rsidR="004C6EF6" w:rsidRPr="00140A68">
        <w:rPr>
          <w:lang w:val="en-US"/>
        </w:rPr>
        <w:tab/>
        <w:t>So you had seen him before that day that you say you saw him at the pit.</w:t>
      </w:r>
      <w:r w:rsidR="004C6EF6">
        <w:rPr>
          <w:lang w:val="en-US"/>
        </w:rPr>
        <w:br/>
      </w:r>
      <w:r w:rsidR="004C6EF6" w:rsidRPr="00140A68">
        <w:rPr>
          <w:lang w:val="en-US"/>
        </w:rPr>
        <w:t>A:</w:t>
      </w:r>
      <w:r w:rsidR="004C6EF6" w:rsidRPr="00140A68">
        <w:rPr>
          <w:lang w:val="en-US"/>
        </w:rPr>
        <w:tab/>
        <w:t>No, I did not see.</w:t>
      </w:r>
      <w:r w:rsidR="004C6EF6">
        <w:rPr>
          <w:lang w:val="en-US"/>
        </w:rPr>
        <w:br/>
      </w:r>
      <w:r w:rsidR="004C6EF6" w:rsidRPr="00140A68">
        <w:rPr>
          <w:lang w:val="en-US"/>
        </w:rPr>
        <w:t>Q:</w:t>
      </w:r>
      <w:r w:rsidR="004C6EF6" w:rsidRPr="00140A68">
        <w:rPr>
          <w:lang w:val="en-US"/>
        </w:rPr>
        <w:tab/>
        <w:t>But you told us you saw him at his wedding.</w:t>
      </w:r>
      <w:r w:rsidR="004C6EF6">
        <w:rPr>
          <w:lang w:val="en-US"/>
        </w:rPr>
        <w:br/>
      </w:r>
      <w:r w:rsidR="004C6EF6" w:rsidRPr="00140A68">
        <w:rPr>
          <w:lang w:val="en-US"/>
        </w:rPr>
        <w:t>A:</w:t>
      </w:r>
      <w:r w:rsidR="004C6EF6" w:rsidRPr="00140A68">
        <w:rPr>
          <w:lang w:val="en-US"/>
        </w:rPr>
        <w:tab/>
        <w:t>That was in 1940 as he was getting married.</w:t>
      </w:r>
      <w:r w:rsidR="004C6EF6">
        <w:rPr>
          <w:lang w:val="en-US"/>
        </w:rPr>
        <w:br/>
      </w:r>
      <w:r w:rsidR="004C6EF6" w:rsidRPr="00140A68">
        <w:rPr>
          <w:lang w:val="en-US"/>
        </w:rPr>
        <w:t>Q:</w:t>
      </w:r>
      <w:r w:rsidR="004C6EF6" w:rsidRPr="00140A68">
        <w:rPr>
          <w:lang w:val="en-US"/>
        </w:rPr>
        <w:tab/>
        <w:t>I'm not talking about on that day. I'm talking about before that day.</w:t>
      </w:r>
      <w:r w:rsidR="004C6EF6">
        <w:rPr>
          <w:lang w:val="en-US"/>
        </w:rPr>
        <w:br/>
      </w:r>
      <w:r w:rsidR="004C6EF6" w:rsidRPr="00140A68">
        <w:rPr>
          <w:lang w:val="en-US"/>
        </w:rPr>
        <w:t>A:</w:t>
      </w:r>
      <w:r w:rsidR="004C6EF6" w:rsidRPr="00140A68">
        <w:rPr>
          <w:lang w:val="en-US"/>
        </w:rPr>
        <w:tab/>
        <w:t>I did not see. I did not know him. Up until that time I did not know him. (...)</w:t>
      </w:r>
      <w:r w:rsidR="004C6EF6">
        <w:rPr>
          <w:lang w:val="en-US"/>
        </w:rPr>
        <w:br/>
      </w:r>
      <w:r w:rsidR="004C6EF6" w:rsidRPr="00140A68">
        <w:rPr>
          <w:lang w:val="en-US"/>
        </w:rPr>
        <w:t>Q:</w:t>
      </w:r>
      <w:r w:rsidR="004C6EF6" w:rsidRPr="00140A68">
        <w:rPr>
          <w:lang w:val="en-US"/>
        </w:rPr>
        <w:tab/>
        <w:t>To be absolutely fair and clear, I'm talking about occasions you've seen him</w:t>
      </w:r>
    </w:p>
    <w:p w14:paraId="4C0DAD36" w14:textId="77777777" w:rsidR="004C6EF6" w:rsidRPr="00140A68" w:rsidRDefault="004C6EF6" w:rsidP="002F7BA5">
      <w:pPr>
        <w:pStyle w:val="ListParagraph"/>
        <w:spacing w:before="0" w:beforeAutospacing="0"/>
        <w:ind w:left="720" w:firstLine="720"/>
        <w:rPr>
          <w:lang w:val="en-US"/>
        </w:rPr>
      </w:pPr>
      <w:r w:rsidRPr="00140A68">
        <w:rPr>
          <w:lang w:val="en-US"/>
        </w:rPr>
        <w:t>before that day, not on that day.</w:t>
      </w:r>
      <w:r>
        <w:rPr>
          <w:lang w:val="en-US"/>
        </w:rPr>
        <w:br/>
      </w:r>
      <w:r w:rsidRPr="00140A68">
        <w:rPr>
          <w:lang w:val="en-US"/>
        </w:rPr>
        <w:t>A:</w:t>
      </w:r>
      <w:r w:rsidRPr="00140A68">
        <w:rPr>
          <w:lang w:val="en-US"/>
        </w:rPr>
        <w:tab/>
        <w:t>I did not see. (...)</w:t>
      </w:r>
      <w:r>
        <w:rPr>
          <w:lang w:val="en-US"/>
        </w:rPr>
        <w:br/>
      </w:r>
      <w:r w:rsidRPr="00140A68">
        <w:rPr>
          <w:lang w:val="en-US"/>
        </w:rPr>
        <w:t>Q:</w:t>
      </w:r>
      <w:r w:rsidRPr="00140A68">
        <w:rPr>
          <w:lang w:val="en-US"/>
        </w:rPr>
        <w:tab/>
        <w:t>Before the day the Jews were killed.</w:t>
      </w:r>
      <w:r>
        <w:rPr>
          <w:lang w:val="en-US"/>
        </w:rPr>
        <w:br/>
      </w:r>
      <w:r w:rsidRPr="00140A68">
        <w:rPr>
          <w:lang w:val="en-US"/>
        </w:rPr>
        <w:t>A:</w:t>
      </w:r>
      <w:r w:rsidRPr="00140A68">
        <w:rPr>
          <w:lang w:val="en-US"/>
        </w:rPr>
        <w:tab/>
        <w:t>I did not see. I did not see.</w:t>
      </w:r>
      <w:r w:rsidR="002F7BA5">
        <w:rPr>
          <w:lang w:val="en-US"/>
        </w:rPr>
        <w:t>”</w:t>
      </w:r>
    </w:p>
    <w:p w14:paraId="43BADDF0" w14:textId="77777777" w:rsidR="002F7BA5" w:rsidRDefault="002F7BA5" w:rsidP="004C6EF6">
      <w:pPr>
        <w:pStyle w:val="ListParagraph"/>
        <w:spacing w:line="276" w:lineRule="auto"/>
        <w:jc w:val="both"/>
        <w:rPr>
          <w:i/>
          <w:iCs/>
        </w:rPr>
      </w:pPr>
    </w:p>
    <w:p w14:paraId="72E11A8C" w14:textId="77777777" w:rsidR="004C6EF6" w:rsidRPr="00A478E2" w:rsidRDefault="004C6EF6" w:rsidP="004C6EF6">
      <w:pPr>
        <w:pStyle w:val="ListParagraph"/>
        <w:spacing w:line="276" w:lineRule="auto"/>
        <w:jc w:val="both"/>
        <w:rPr>
          <w:i/>
          <w:iCs/>
        </w:rPr>
      </w:pPr>
      <w:r>
        <w:rPr>
          <w:i/>
          <w:iCs/>
        </w:rPr>
        <w:t>Soviet w</w:t>
      </w:r>
      <w:r w:rsidRPr="00A478E2">
        <w:rPr>
          <w:i/>
          <w:iCs/>
        </w:rPr>
        <w:t>itnesses in the adversarial legal system</w:t>
      </w:r>
    </w:p>
    <w:p w14:paraId="40C46F4F" w14:textId="77777777" w:rsidR="004C6EF6" w:rsidRDefault="004C6EF6" w:rsidP="004C6EF6">
      <w:pPr>
        <w:pStyle w:val="ListParagraph"/>
        <w:spacing w:line="276" w:lineRule="auto"/>
        <w:jc w:val="both"/>
      </w:pPr>
      <w:r w:rsidRPr="00C81DA1">
        <w:t xml:space="preserve">This </w:t>
      </w:r>
      <w:r>
        <w:t>raises</w:t>
      </w:r>
      <w:r w:rsidRPr="00C81DA1">
        <w:t xml:space="preserve"> the question of whether the witnesses from the Soviet legal system,</w:t>
      </w:r>
      <w:r>
        <w:t xml:space="preserve"> which is based on the Roman system,</w:t>
      </w:r>
      <w:r w:rsidRPr="00C81DA1">
        <w:t xml:space="preserve"> were culturally compatible with the Australian </w:t>
      </w:r>
      <w:r>
        <w:t>system</w:t>
      </w:r>
      <w:r w:rsidRPr="00C81DA1">
        <w:t xml:space="preserve"> where they </w:t>
      </w:r>
      <w:r>
        <w:t xml:space="preserve">had to </w:t>
      </w:r>
      <w:r w:rsidRPr="00C81DA1">
        <w:t>testif</w:t>
      </w:r>
      <w:r>
        <w:t>y</w:t>
      </w:r>
      <w:r w:rsidRPr="00C81DA1">
        <w:t xml:space="preserve">. </w:t>
      </w:r>
      <w:r>
        <w:t>I have already given a general outline of the</w:t>
      </w:r>
      <w:r w:rsidRPr="00C81DA1">
        <w:t xml:space="preserve"> political, </w:t>
      </w:r>
      <w:r>
        <w:t>cultural and linguistic</w:t>
      </w:r>
      <w:r w:rsidRPr="00C81DA1">
        <w:t xml:space="preserve"> </w:t>
      </w:r>
      <w:r>
        <w:t>environment they were brought from, and where cross-cultural differences were due not only from the difference in the languages and ethnicity but also socio-cultural and historical ones</w:t>
      </w:r>
      <w:r w:rsidRPr="00C81DA1">
        <w:t>. Even if the</w:t>
      </w:r>
      <w:r>
        <w:t>se witnesses</w:t>
      </w:r>
      <w:r w:rsidRPr="00C81DA1">
        <w:t xml:space="preserve"> hadn’t </w:t>
      </w:r>
      <w:r>
        <w:t xml:space="preserve">personally </w:t>
      </w:r>
      <w:r w:rsidRPr="00C81DA1">
        <w:t xml:space="preserve">testified against Nazi collaborators during the earlier Soviet trials, they </w:t>
      </w:r>
      <w:r>
        <w:t xml:space="preserve">had </w:t>
      </w:r>
      <w:r w:rsidRPr="00C81DA1">
        <w:t xml:space="preserve">undoubtedly </w:t>
      </w:r>
      <w:r>
        <w:t>absorbed</w:t>
      </w:r>
      <w:r w:rsidRPr="00C81DA1">
        <w:t xml:space="preserve"> the ethos of the </w:t>
      </w:r>
      <w:r>
        <w:t>official Soviet views towards the local</w:t>
      </w:r>
      <w:r w:rsidRPr="00C81DA1">
        <w:t xml:space="preserve"> Nazi collaborators</w:t>
      </w:r>
      <w:r>
        <w:rPr>
          <w:rStyle w:val="FootnoteReference"/>
        </w:rPr>
        <w:footnoteReference w:id="18"/>
      </w:r>
      <w:r>
        <w:t>. They would have</w:t>
      </w:r>
      <w:r w:rsidRPr="00C81DA1">
        <w:t xml:space="preserve"> had </w:t>
      </w:r>
      <w:r>
        <w:t>certain</w:t>
      </w:r>
      <w:r w:rsidRPr="00C81DA1">
        <w:t xml:space="preserve"> expectations </w:t>
      </w:r>
      <w:r>
        <w:t>of the role of a</w:t>
      </w:r>
      <w:r w:rsidRPr="00C81DA1">
        <w:t xml:space="preserve"> witness for the prosecution</w:t>
      </w:r>
      <w:r>
        <w:t xml:space="preserve"> in the Soviet system where testimonies would be given in the form of an </w:t>
      </w:r>
      <w:r w:rsidRPr="00C81DA1">
        <w:t>uninterrupted narrative</w:t>
      </w:r>
      <w:r>
        <w:t xml:space="preserve"> described in Part 1,</w:t>
      </w:r>
      <w:r w:rsidRPr="00C81DA1">
        <w:t xml:space="preserve"> rather than </w:t>
      </w:r>
      <w:r>
        <w:t>having it</w:t>
      </w:r>
      <w:r w:rsidRPr="00C81DA1">
        <w:t xml:space="preserve"> </w:t>
      </w:r>
      <w:r>
        <w:t>teased out in the form of questions and answers, and then challenged by the other party – another concept unfamiliar in the Soviet legal system</w:t>
      </w:r>
      <w:r w:rsidRPr="00C81DA1">
        <w:t xml:space="preserve">. Here, under cross-examination, </w:t>
      </w:r>
      <w:r>
        <w:t>Ukrainian witnesses</w:t>
      </w:r>
      <w:r w:rsidRPr="00C81DA1">
        <w:t xml:space="preserve"> themselves felt as if they were suspect</w:t>
      </w:r>
      <w:r>
        <w:t>s</w:t>
      </w:r>
      <w:r w:rsidRPr="00C81DA1">
        <w:t xml:space="preserve">, with their evidence challenged, </w:t>
      </w:r>
      <w:r>
        <w:t>falling into</w:t>
      </w:r>
      <w:r w:rsidRPr="00C81DA1">
        <w:t xml:space="preserve"> </w:t>
      </w:r>
      <w:r>
        <w:t xml:space="preserve">the </w:t>
      </w:r>
      <w:r w:rsidRPr="00C81DA1">
        <w:t>traps set for them.</w:t>
      </w:r>
      <w:r>
        <w:t xml:space="preserve"> To quote Irene Ulman, it was beyond their comprehension ‘why if it was he [Polyukhovich] who did it, they were held responsible [for proving it].’</w:t>
      </w:r>
    </w:p>
    <w:p w14:paraId="4AEF0CAE" w14:textId="77777777" w:rsidR="008D4CFA" w:rsidRDefault="004C6EF6" w:rsidP="008D4CFA">
      <w:pPr>
        <w:pStyle w:val="ListParagraph"/>
        <w:spacing w:after="0" w:afterAutospacing="0" w:line="276" w:lineRule="auto"/>
        <w:jc w:val="both"/>
        <w:rPr>
          <w:lang w:val="en-US"/>
        </w:rPr>
      </w:pPr>
      <w:r>
        <w:lastRenderedPageBreak/>
        <w:t>It is</w:t>
      </w:r>
      <w:r w:rsidRPr="00C81DA1">
        <w:t xml:space="preserve"> likely</w:t>
      </w:r>
      <w:r>
        <w:t xml:space="preserve"> that not only lexico-grammatical interpretation challenges but also these complex cultural reasons prevented</w:t>
      </w:r>
      <w:r w:rsidRPr="00C81DA1">
        <w:t xml:space="preserve"> the</w:t>
      </w:r>
      <w:r>
        <w:t xml:space="preserve"> witnesses</w:t>
      </w:r>
      <w:r w:rsidRPr="00C81DA1">
        <w:t xml:space="preserve"> </w:t>
      </w:r>
      <w:r>
        <w:t>from</w:t>
      </w:r>
      <w:r w:rsidRPr="00C81DA1">
        <w:t xml:space="preserve"> mak</w:t>
      </w:r>
      <w:r>
        <w:t>ing</w:t>
      </w:r>
      <w:r w:rsidRPr="00C81DA1">
        <w:t xml:space="preserve"> sense of the unfamiliar rules of evidence, understand</w:t>
      </w:r>
      <w:r>
        <w:t>ing</w:t>
      </w:r>
      <w:r w:rsidRPr="00C81DA1">
        <w:t xml:space="preserve"> standard strategic questions, and respond</w:t>
      </w:r>
      <w:r>
        <w:t>ing</w:t>
      </w:r>
      <w:r w:rsidRPr="00C81DA1">
        <w:t xml:space="preserve"> </w:t>
      </w:r>
      <w:r>
        <w:t>appropriately</w:t>
      </w:r>
      <w:r w:rsidRPr="00C81DA1">
        <w:t xml:space="preserve"> to requests to agree or disagree with their previous statements, especially video-recorded ones – a major source of misunderstanding and miscommunication. </w:t>
      </w:r>
      <w:r>
        <w:t>Such requests</w:t>
      </w:r>
      <w:r w:rsidRPr="00C81DA1">
        <w:t xml:space="preserve"> were usually phrased thus: </w:t>
      </w:r>
      <w:r>
        <w:rPr>
          <w:lang w:val="en-US"/>
        </w:rPr>
        <w:t>‘</w:t>
      </w:r>
      <w:r w:rsidRPr="00A478E2">
        <w:rPr>
          <w:lang w:val="en-US"/>
        </w:rPr>
        <w:t>Did you not say earlier in your statement ...</w:t>
      </w:r>
      <w:r w:rsidRPr="00C81DA1">
        <w:t>?</w:t>
      </w:r>
      <w:r>
        <w:t>’</w:t>
      </w:r>
      <w:r w:rsidRPr="00C81DA1">
        <w:t xml:space="preserve"> </w:t>
      </w:r>
      <w:r>
        <w:t>Especially phrased in the negative,</w:t>
      </w:r>
      <w:r w:rsidRPr="00C81DA1">
        <w:t xml:space="preserve"> </w:t>
      </w:r>
      <w:r>
        <w:t xml:space="preserve">these types of requests </w:t>
      </w:r>
      <w:r w:rsidRPr="00C81DA1">
        <w:t xml:space="preserve">were frequently misunderstood </w:t>
      </w:r>
      <w:r>
        <w:t>for</w:t>
      </w:r>
      <w:r w:rsidRPr="00C81DA1">
        <w:t xml:space="preserve"> requests to agree or disagree with the</w:t>
      </w:r>
      <w:r>
        <w:t xml:space="preserve"> content of the</w:t>
      </w:r>
      <w:r w:rsidRPr="00C81DA1">
        <w:t xml:space="preserve"> actual statement quoted, rather than to acknowledge having made this statement</w:t>
      </w:r>
      <w:r>
        <w:t xml:space="preserve"> in the past</w:t>
      </w:r>
      <w:r w:rsidRPr="00C81DA1">
        <w:t xml:space="preserve">. The problem was aggravated by the fact that the original words </w:t>
      </w:r>
      <w:r>
        <w:t>of the previous statements</w:t>
      </w:r>
      <w:r w:rsidRPr="00C81DA1">
        <w:t xml:space="preserve"> used by the witness in Ukrainian, </w:t>
      </w:r>
      <w:r>
        <w:t>were then translated into</w:t>
      </w:r>
      <w:r w:rsidRPr="00C81DA1">
        <w:t xml:space="preserve"> </w:t>
      </w:r>
      <w:r>
        <w:t xml:space="preserve">English and quoted by the counsel in their re-interpretation </w:t>
      </w:r>
      <w:r w:rsidRPr="00C81DA1">
        <w:t>back into Ukrainian.  Having gone through a double translation, the quote may have resembled the original only remotely, and should not have been presented to witness</w:t>
      </w:r>
      <w:r>
        <w:t>es</w:t>
      </w:r>
      <w:r w:rsidRPr="00C81DA1">
        <w:t xml:space="preserve"> as </w:t>
      </w:r>
      <w:r>
        <w:t>their</w:t>
      </w:r>
      <w:r w:rsidRPr="00C81DA1">
        <w:t xml:space="preserve"> words once said. It was clear from the transcripts when some </w:t>
      </w:r>
      <w:r>
        <w:t>witnesses</w:t>
      </w:r>
      <w:r w:rsidRPr="00C81DA1">
        <w:t xml:space="preserve"> were losing patience under the barrage of seemingly repetitive questions</w:t>
      </w:r>
      <w:r>
        <w:t>,</w:t>
      </w:r>
      <w:r w:rsidRPr="00C81DA1">
        <w:t xml:space="preserve"> struggl</w:t>
      </w:r>
      <w:r>
        <w:t>ing</w:t>
      </w:r>
      <w:r w:rsidRPr="00C81DA1">
        <w:t xml:space="preserve"> to understand what they had said in their earlier video-recorded interview</w:t>
      </w:r>
      <w:r>
        <w:t>s</w:t>
      </w:r>
      <w:r w:rsidRPr="00C81DA1">
        <w:t xml:space="preserve"> months or even years earlier – a novel experience for people who may not have seen a video recorder before. </w:t>
      </w:r>
      <w:r>
        <w:t xml:space="preserve"> </w:t>
      </w:r>
      <w:r w:rsidRPr="00C81DA1">
        <w:t xml:space="preserve">The same argument </w:t>
      </w:r>
      <w:r>
        <w:t>applies to</w:t>
      </w:r>
      <w:r w:rsidRPr="00C81DA1">
        <w:t xml:space="preserve"> situation</w:t>
      </w:r>
      <w:r>
        <w:t>s</w:t>
      </w:r>
      <w:r w:rsidRPr="00C81DA1">
        <w:t xml:space="preserve"> when videotapes </w:t>
      </w:r>
      <w:r>
        <w:t>were</w:t>
      </w:r>
      <w:r w:rsidRPr="00C81DA1">
        <w:t xml:space="preserve"> played </w:t>
      </w:r>
      <w:r>
        <w:t xml:space="preserve">in court </w:t>
      </w:r>
      <w:r w:rsidRPr="00C81DA1">
        <w:t xml:space="preserve">for witnesses depicting them giving evidence.  </w:t>
      </w:r>
      <w:r>
        <w:t>T</w:t>
      </w:r>
      <w:r w:rsidRPr="00C81DA1">
        <w:t>hese witnesses</w:t>
      </w:r>
      <w:r>
        <w:t>’</w:t>
      </w:r>
      <w:r w:rsidRPr="00C81DA1">
        <w:t xml:space="preserve"> lack of familiarity with the video equipment frequently prevented them from </w:t>
      </w:r>
      <w:r>
        <w:t>recognising</w:t>
      </w:r>
      <w:r w:rsidRPr="00C81DA1">
        <w:t xml:space="preserve"> themselves as the person on the screen and </w:t>
      </w:r>
      <w:r>
        <w:t xml:space="preserve">understand </w:t>
      </w:r>
      <w:r w:rsidRPr="00C81DA1">
        <w:t>the statements as their own words once said</w:t>
      </w:r>
      <w:r>
        <w:t xml:space="preserve">. </w:t>
      </w:r>
      <w:r w:rsidRPr="00A478E2">
        <w:rPr>
          <w:lang w:val="en-US"/>
        </w:rPr>
        <w:t xml:space="preserve">For example, during the giving of evidence by </w:t>
      </w:r>
      <w:r>
        <w:rPr>
          <w:lang w:val="en-US"/>
        </w:rPr>
        <w:t xml:space="preserve">one of the witnesses in the </w:t>
      </w:r>
      <w:r w:rsidRPr="00A478E2">
        <w:rPr>
          <w:lang w:val="en-US"/>
        </w:rPr>
        <w:t>Polyukhovich case</w:t>
      </w:r>
      <w:r>
        <w:rPr>
          <w:lang w:val="en-US"/>
        </w:rPr>
        <w:t>,</w:t>
      </w:r>
      <w:r w:rsidRPr="00A478E2">
        <w:rPr>
          <w:lang w:val="en-US"/>
        </w:rPr>
        <w:t xml:space="preserve"> the witness was asked to repeat what he had just heard himself say on</w:t>
      </w:r>
    </w:p>
    <w:p w14:paraId="4FC64707" w14:textId="77777777" w:rsidR="004C6EF6" w:rsidRPr="00A478E2" w:rsidRDefault="004C6EF6" w:rsidP="008D4CFA">
      <w:pPr>
        <w:pStyle w:val="ListParagraph"/>
        <w:spacing w:before="0" w:beforeAutospacing="0" w:line="276" w:lineRule="auto"/>
        <w:rPr>
          <w:lang w:val="en-US"/>
        </w:rPr>
      </w:pPr>
      <w:r w:rsidRPr="00A478E2">
        <w:rPr>
          <w:lang w:val="en-US"/>
        </w:rPr>
        <w:t>the video recording:</w:t>
      </w:r>
      <w:r w:rsidRPr="00A478E2">
        <w:rPr>
          <w:lang w:val="en-US"/>
        </w:rPr>
        <w:br/>
      </w:r>
    </w:p>
    <w:p w14:paraId="049FACE4" w14:textId="77777777" w:rsidR="004C6EF6" w:rsidRPr="00A16E0B" w:rsidRDefault="008D4CFA" w:rsidP="004C6EF6">
      <w:pPr>
        <w:spacing w:line="276" w:lineRule="auto"/>
        <w:ind w:left="720"/>
        <w:jc w:val="both"/>
        <w:rPr>
          <w:lang w:val="en-US"/>
        </w:rPr>
      </w:pPr>
      <w:r>
        <w:rPr>
          <w:lang w:val="en-US"/>
        </w:rPr>
        <w:t>“</w:t>
      </w:r>
      <w:r w:rsidR="004C6EF6" w:rsidRPr="00A16E0B">
        <w:rPr>
          <w:lang w:val="en-US"/>
        </w:rPr>
        <w:t>Q:</w:t>
      </w:r>
      <w:r w:rsidR="004C6EF6" w:rsidRPr="00A16E0B">
        <w:rPr>
          <w:lang w:val="en-US"/>
        </w:rPr>
        <w:tab/>
        <w:t>What did you just say on television then.</w:t>
      </w:r>
    </w:p>
    <w:p w14:paraId="7CB85608" w14:textId="77777777" w:rsidR="008D4CFA" w:rsidRDefault="004C6EF6" w:rsidP="004C6EF6">
      <w:pPr>
        <w:spacing w:line="276" w:lineRule="auto"/>
        <w:ind w:left="720"/>
        <w:jc w:val="both"/>
        <w:rPr>
          <w:lang w:val="en-US"/>
        </w:rPr>
      </w:pPr>
      <w:r w:rsidRPr="00A16E0B">
        <w:rPr>
          <w:lang w:val="en-US"/>
        </w:rPr>
        <w:t>A:</w:t>
      </w:r>
      <w:r w:rsidRPr="00A16E0B">
        <w:rPr>
          <w:lang w:val="en-US"/>
        </w:rPr>
        <w:tab/>
        <w:t xml:space="preserve">I can hear what I had said, but I do not remember saying that. Neither had it </w:t>
      </w:r>
    </w:p>
    <w:p w14:paraId="46C95B61" w14:textId="77777777" w:rsidR="004C6EF6" w:rsidRPr="00A16E0B" w:rsidRDefault="008D4CFA" w:rsidP="004C6EF6">
      <w:pPr>
        <w:spacing w:line="276" w:lineRule="auto"/>
        <w:ind w:left="720"/>
        <w:jc w:val="both"/>
        <w:rPr>
          <w:lang w:val="en-US"/>
        </w:rPr>
      </w:pPr>
      <w:r>
        <w:rPr>
          <w:lang w:val="en-US"/>
        </w:rPr>
        <w:tab/>
      </w:r>
      <w:r w:rsidR="004C6EF6" w:rsidRPr="00A16E0B">
        <w:rPr>
          <w:lang w:val="en-US"/>
        </w:rPr>
        <w:t>entered our heads.</w:t>
      </w:r>
    </w:p>
    <w:p w14:paraId="35C3766D" w14:textId="77777777" w:rsidR="004C6EF6" w:rsidRPr="00A16E0B" w:rsidRDefault="004C6EF6" w:rsidP="004C6EF6">
      <w:pPr>
        <w:spacing w:line="276" w:lineRule="auto"/>
        <w:ind w:left="720"/>
        <w:jc w:val="both"/>
        <w:rPr>
          <w:lang w:val="en-US"/>
        </w:rPr>
      </w:pPr>
      <w:r w:rsidRPr="00A16E0B">
        <w:rPr>
          <w:lang w:val="en-US"/>
        </w:rPr>
        <w:t>Q:</w:t>
      </w:r>
      <w:r w:rsidRPr="00A16E0B">
        <w:rPr>
          <w:lang w:val="en-US"/>
        </w:rPr>
        <w:tab/>
        <w:t>And tell again what you said.</w:t>
      </w:r>
    </w:p>
    <w:p w14:paraId="26A2F370" w14:textId="77777777" w:rsidR="004C6EF6" w:rsidRPr="00A16E0B" w:rsidRDefault="004C6EF6" w:rsidP="004C6EF6">
      <w:pPr>
        <w:spacing w:line="276" w:lineRule="auto"/>
        <w:ind w:left="720"/>
        <w:jc w:val="both"/>
        <w:rPr>
          <w:lang w:val="en-US"/>
        </w:rPr>
      </w:pPr>
      <w:r w:rsidRPr="00A16E0B">
        <w:rPr>
          <w:lang w:val="en-US"/>
        </w:rPr>
        <w:t>A:</w:t>
      </w:r>
      <w:r w:rsidRPr="00A16E0B">
        <w:rPr>
          <w:lang w:val="en-US"/>
        </w:rPr>
        <w:tab/>
        <w:t>Where?</w:t>
      </w:r>
    </w:p>
    <w:p w14:paraId="5461E03C" w14:textId="77777777" w:rsidR="004C6EF6" w:rsidRPr="00A16E0B" w:rsidRDefault="004C6EF6" w:rsidP="004C6EF6">
      <w:pPr>
        <w:spacing w:line="276" w:lineRule="auto"/>
        <w:ind w:left="720"/>
        <w:jc w:val="both"/>
        <w:rPr>
          <w:lang w:val="en-US"/>
        </w:rPr>
      </w:pPr>
      <w:r w:rsidRPr="00A16E0B">
        <w:rPr>
          <w:lang w:val="en-US"/>
        </w:rPr>
        <w:t>Q:</w:t>
      </w:r>
      <w:r w:rsidRPr="00A16E0B">
        <w:rPr>
          <w:lang w:val="en-US"/>
        </w:rPr>
        <w:tab/>
        <w:t>On the television that</w:t>
      </w:r>
      <w:r>
        <w:rPr>
          <w:lang w:val="en-US"/>
        </w:rPr>
        <w:t>’</w:t>
      </w:r>
      <w:r w:rsidRPr="00A16E0B">
        <w:rPr>
          <w:lang w:val="en-US"/>
        </w:rPr>
        <w:t>s just been played.</w:t>
      </w:r>
    </w:p>
    <w:p w14:paraId="49E441C0" w14:textId="77777777" w:rsidR="004C6EF6" w:rsidRPr="00A16E0B" w:rsidRDefault="004C6EF6" w:rsidP="004C6EF6">
      <w:pPr>
        <w:spacing w:line="276" w:lineRule="auto"/>
        <w:ind w:left="720"/>
        <w:jc w:val="both"/>
        <w:rPr>
          <w:lang w:val="en-US"/>
        </w:rPr>
      </w:pPr>
      <w:r w:rsidRPr="00A16E0B">
        <w:rPr>
          <w:lang w:val="en-US"/>
        </w:rPr>
        <w:t>A:</w:t>
      </w:r>
      <w:r w:rsidRPr="00A16E0B">
        <w:rPr>
          <w:lang w:val="en-US"/>
        </w:rPr>
        <w:tab/>
        <w:t>Do I remember what I said then?</w:t>
      </w:r>
    </w:p>
    <w:p w14:paraId="54BB486D" w14:textId="77777777" w:rsidR="004C6EF6" w:rsidRPr="00A16E0B" w:rsidRDefault="004C6EF6" w:rsidP="004C6EF6">
      <w:pPr>
        <w:spacing w:line="276" w:lineRule="auto"/>
        <w:ind w:left="720"/>
        <w:jc w:val="both"/>
        <w:rPr>
          <w:lang w:val="en-US"/>
        </w:rPr>
      </w:pPr>
      <w:r w:rsidRPr="00A16E0B">
        <w:rPr>
          <w:lang w:val="en-US"/>
        </w:rPr>
        <w:t>Q:</w:t>
      </w:r>
      <w:r w:rsidRPr="00A16E0B">
        <w:rPr>
          <w:lang w:val="en-US"/>
        </w:rPr>
        <w:tab/>
        <w:t>Tell us what you just heard.</w:t>
      </w:r>
    </w:p>
    <w:p w14:paraId="2FD66A18" w14:textId="77777777" w:rsidR="004C6EF6" w:rsidRPr="00A16E0B" w:rsidRDefault="004C6EF6" w:rsidP="004C6EF6">
      <w:pPr>
        <w:spacing w:line="276" w:lineRule="auto"/>
        <w:ind w:left="720"/>
        <w:jc w:val="both"/>
        <w:rPr>
          <w:lang w:val="en-US"/>
        </w:rPr>
      </w:pPr>
      <w:r w:rsidRPr="00A16E0B">
        <w:rPr>
          <w:lang w:val="en-US"/>
        </w:rPr>
        <w:t>A:</w:t>
      </w:r>
      <w:r w:rsidRPr="00A16E0B">
        <w:rPr>
          <w:lang w:val="en-US"/>
        </w:rPr>
        <w:tab/>
        <w:t>I did not look closely, I did not see.</w:t>
      </w:r>
      <w:r w:rsidR="008D4CFA">
        <w:rPr>
          <w:lang w:val="en-US"/>
        </w:rPr>
        <w:t>”</w:t>
      </w:r>
    </w:p>
    <w:p w14:paraId="4FB0F528" w14:textId="77777777" w:rsidR="004C6EF6" w:rsidRDefault="004C6EF6" w:rsidP="004C6EF6">
      <w:pPr>
        <w:spacing w:line="276" w:lineRule="auto"/>
        <w:jc w:val="both"/>
      </w:pPr>
      <w:r>
        <w:br/>
        <w:t xml:space="preserve">These responses, translated very literally, are testimony to the witnesses’ inability to follow their own evidence on screen, possibly also exacerbated by the unclear sound, and answer the counsel’s questions. </w:t>
      </w:r>
    </w:p>
    <w:p w14:paraId="52B9E296" w14:textId="77777777" w:rsidR="008D4CFA" w:rsidRDefault="004C6EF6" w:rsidP="004C6EF6">
      <w:pPr>
        <w:spacing w:line="276" w:lineRule="auto"/>
        <w:jc w:val="both"/>
      </w:pPr>
      <w:r>
        <w:br/>
        <w:t xml:space="preserve">After my report had been completed, Graham Blewitt adapted it as an expert witness’s report to be tendered at the start of the Polyukhovich trial, with the aim of drawing the court’s attention to linguistic and intercultural problems. The judge in the Polyukhovich trial deemed it unsuitable for being tendered but agreed to take note of it as an Annexure throughout the proceedings and refer to it whenever necessary. This was also the case in the Wagner’s </w:t>
      </w:r>
      <w:r>
        <w:lastRenderedPageBreak/>
        <w:t>committal hearing, where the SIU wanted the Magistrate to read the report to gain a better understanding of the nature and process of interpretation. A significant change, following one of the recommendations in the report, was that the SIU interpreters could now monitor court supplied interpreters, allowing early identification of errors and communicating any comments about inaccuracies to the DPP. Graham Blewitt remembers how ‘</w:t>
      </w:r>
      <w:r w:rsidRPr="00856C27">
        <w:t>several times we</w:t>
      </w:r>
      <w:r>
        <w:t xml:space="preserve"> [the SIU]</w:t>
      </w:r>
      <w:r w:rsidRPr="00856C27">
        <w:t xml:space="preserve"> had to interject in the proceedings to indicate to the Court that the interpreter was not always providing an accurate interpretation</w:t>
      </w:r>
      <w:r>
        <w:t>.’</w:t>
      </w:r>
      <w:r>
        <w:rPr>
          <w:rStyle w:val="FootnoteReference"/>
        </w:rPr>
        <w:footnoteReference w:id="19"/>
      </w:r>
      <w:r>
        <w:t xml:space="preserve"> It is unclear whether another recommendation was followed - to increase communication with the interpreter, encouraging them to interrupt the proceedings to ask questions and offer comments when necessary to achieve accuracy of interpretation. While the report may have made the court more alert to potential interpretation problems and possibly developed a greater understanding of the foreign witnesses, it is not clear whether some other recommendations in the report were adopted, for example, suggestions for counsel to break down their questions into shorter ones or providing witnesses with the original statements in their language, ensuring that the meaning of requests was clear to witnesses, especially with reference to previous statements. All of these recommendations have been part of the practice of the International Military Tribunal in Nuremberg (1945-46) and later became incorporated into the modus operandi at the International Criminal Tribunal for the Former Yugoslavia (ICTY) and the International</w:t>
      </w:r>
    </w:p>
    <w:p w14:paraId="40367347" w14:textId="77777777" w:rsidR="004C6EF6" w:rsidRDefault="004C6EF6" w:rsidP="008D4CFA">
      <w:pPr>
        <w:spacing w:line="276" w:lineRule="auto"/>
      </w:pPr>
      <w:r>
        <w:t xml:space="preserve"> Criminal Court (ICC), both in The Hague. </w:t>
      </w:r>
      <w:r>
        <w:br/>
      </w:r>
    </w:p>
    <w:p w14:paraId="03F13C05" w14:textId="77777777" w:rsidR="004C6EF6" w:rsidRDefault="004C6EF6" w:rsidP="004C6EF6">
      <w:pPr>
        <w:spacing w:line="276" w:lineRule="auto"/>
        <w:jc w:val="both"/>
        <w:rPr>
          <w:i/>
          <w:iCs/>
        </w:rPr>
      </w:pPr>
      <w:r w:rsidRPr="00344931">
        <w:rPr>
          <w:i/>
          <w:iCs/>
        </w:rPr>
        <w:t>Conclusion</w:t>
      </w:r>
    </w:p>
    <w:p w14:paraId="58983B65" w14:textId="77777777" w:rsidR="004C6EF6" w:rsidRPr="00E847DD" w:rsidRDefault="004C6EF6" w:rsidP="004C6EF6">
      <w:pPr>
        <w:spacing w:line="276" w:lineRule="auto"/>
        <w:jc w:val="both"/>
        <w:rPr>
          <w:i/>
          <w:iCs/>
        </w:rPr>
      </w:pPr>
    </w:p>
    <w:p w14:paraId="632B78A4" w14:textId="77777777" w:rsidR="004C6EF6" w:rsidRDefault="004C6EF6" w:rsidP="004C6EF6">
      <w:pPr>
        <w:spacing w:line="276" w:lineRule="auto"/>
        <w:jc w:val="both"/>
      </w:pPr>
      <w:r>
        <w:t xml:space="preserve">Having observed the Australian War Crimes prosecutions from inside, and then reflected about them for 30 years, I cannot help thinking that many aspects of the proceedings could have been done differently, in recognition of the complex cultural and linguistic fabric on which the evidence in these cases resided. </w:t>
      </w:r>
      <w:r w:rsidRPr="00E847DD">
        <w:t xml:space="preserve">It would be tempting to attribute the </w:t>
      </w:r>
      <w:r>
        <w:t>failure to find guilty</w:t>
      </w:r>
      <w:r w:rsidRPr="00E847DD">
        <w:t xml:space="preserve"> to problems that include substandard interpreting</w:t>
      </w:r>
      <w:r>
        <w:t xml:space="preserve"> and</w:t>
      </w:r>
      <w:r w:rsidRPr="00E847DD">
        <w:t xml:space="preserve"> ineffective communication with witnesses, leading to the</w:t>
      </w:r>
      <w:r>
        <w:t xml:space="preserve">ir </w:t>
      </w:r>
      <w:r w:rsidRPr="00E847DD">
        <w:t xml:space="preserve">perceptions, by the court, </w:t>
      </w:r>
      <w:r>
        <w:t xml:space="preserve">as incapable of </w:t>
      </w:r>
      <w:r w:rsidRPr="00E847DD">
        <w:t>provid</w:t>
      </w:r>
      <w:r>
        <w:t>ing</w:t>
      </w:r>
      <w:r w:rsidRPr="00E847DD">
        <w:t xml:space="preserve"> evidence that would persuade the Magistrate or the jury of the defendants’ guilt beyond reasonable doubt. Even though at the time it did appear that interpreting was key to miscommunication, it was clearly only one of the factors that affected the course of the proceedings. It would be more accurate to conclude that while not all of the problems during the interactions with witnesses resulted from interpreting, many problems were </w:t>
      </w:r>
      <w:r>
        <w:t>amplified</w:t>
      </w:r>
      <w:r w:rsidRPr="00E847DD">
        <w:t xml:space="preserve"> through interpretation. If Grant Niemann believes that war crimes trials should not be dealt with by jury trials, perhaps the Australian War Crimes prosecutions have shown that domestic courts in general are not suited to conduct trials of international resonance</w:t>
      </w:r>
      <w:r>
        <w:t xml:space="preserve"> and complexity</w:t>
      </w:r>
      <w:r w:rsidRPr="00E847DD">
        <w:t>.</w:t>
      </w:r>
    </w:p>
    <w:p w14:paraId="15C01B73" w14:textId="77777777" w:rsidR="004C6EF6" w:rsidRDefault="004C6EF6" w:rsidP="004C6EF6">
      <w:pPr>
        <w:spacing w:line="276" w:lineRule="auto"/>
        <w:jc w:val="both"/>
      </w:pPr>
    </w:p>
    <w:p w14:paraId="05E9C586" w14:textId="77777777" w:rsidR="004C6EF6" w:rsidRDefault="004C6EF6" w:rsidP="004C6EF6">
      <w:pPr>
        <w:spacing w:line="276" w:lineRule="auto"/>
        <w:jc w:val="both"/>
      </w:pPr>
      <w:r>
        <w:t xml:space="preserve">Much has improved today in Australian courts when interpreters are involved, however, the transfer of interpreted evidence continues to encounter problems similar to those that took place in the war crimes prosecutions. Revisiting the article that I wrote after the completion </w:t>
      </w:r>
      <w:r>
        <w:lastRenderedPageBreak/>
        <w:t>of the prosecutions</w:t>
      </w:r>
      <w:r>
        <w:rPr>
          <w:rStyle w:val="FootnoteReference"/>
        </w:rPr>
        <w:footnoteReference w:id="20"/>
      </w:r>
      <w:r>
        <w:t xml:space="preserve">, today, 30 years later, I continue to subscribe under its conclusions and recommendations. The only way to ensure that interpretation is competent is for the courts to recruit interpreters that are trained and certified, and provide advance preparation and briefing about the nature of the case. In court, interpreters have to be reminded that they are free to interrupt the proceedings and intervene, whenever necessary, whether to ask for a break or seek clarification or repetition, or else request documents that are being referred to or quoted. The responsibility for effective communication with non-English speaking defendants and witnesses also lies with interpretation users – judicial officers and lawyers. In addition to planning their speech, speaking at a reasonable pace, in sentences that are structured and reasonably short, pausing for interpretation, they need to be alert to any miscommunication with witnesses or ineffective transfer of evidence. It is ultimately the role of the judicial officer to monitor and control courtroom communication, ensuring that interpretation fulfils its purpose. These and other guidelines are included in the </w:t>
      </w:r>
      <w:r w:rsidRPr="005F3F96">
        <w:rPr>
          <w:i/>
          <w:iCs/>
        </w:rPr>
        <w:t>Recommended National Standards for Working with Interpreters in Courts and Tribunals</w:t>
      </w:r>
      <w:r>
        <w:t xml:space="preserve"> (2017).</w:t>
      </w:r>
      <w:r>
        <w:rPr>
          <w:rStyle w:val="FootnoteReference"/>
        </w:rPr>
        <w:footnoteReference w:id="21"/>
      </w:r>
    </w:p>
    <w:p w14:paraId="744B68BD" w14:textId="77777777" w:rsidR="004C6EF6" w:rsidRDefault="004C6EF6" w:rsidP="004C6EF6">
      <w:pPr>
        <w:spacing w:line="276" w:lineRule="auto"/>
        <w:jc w:val="both"/>
      </w:pPr>
    </w:p>
    <w:p w14:paraId="0BFE0A4F" w14:textId="77777777" w:rsidR="004C6EF6" w:rsidRPr="00D1717E" w:rsidRDefault="004C6EF6" w:rsidP="004C6EF6">
      <w:pPr>
        <w:spacing w:line="276" w:lineRule="auto"/>
        <w:jc w:val="both"/>
      </w:pPr>
      <w:r>
        <w:t xml:space="preserve">The lessons about working with interpreters were not lost by the Australian SIU lawyers and investigators who went on to ICTY. ‘We took these lessons with us,’ recalls John Ralston,  </w:t>
      </w:r>
      <w:r w:rsidRPr="0008319B">
        <w:t>the Chief of Investigations</w:t>
      </w:r>
      <w:r>
        <w:t xml:space="preserve"> at ICTY, about introducing the lessons contained in my Report in the investigative and court work.</w:t>
      </w:r>
      <w:r w:rsidRPr="0008319B">
        <w:t xml:space="preserve"> </w:t>
      </w:r>
      <w:r>
        <w:t>Bob Reid who also worked as the ICTY Chief of Investigations, and later Chief of Operations, also spoke about the SIU lessons learned and applied: understanding the value of interpreters’ qualifications and training, having acquired the skills of working with interpreters, e.g., briefing them and explaining the purpose of the interview;</w:t>
      </w:r>
      <w:r w:rsidRPr="00595E46">
        <w:t xml:space="preserve"> </w:t>
      </w:r>
      <w:r>
        <w:t>encouraging them to prepare the specialised vocabulary providing interpreters with a full array of documents as do all the other parties in preparation for court case.</w:t>
      </w:r>
      <w:r>
        <w:rPr>
          <w:rStyle w:val="FootnoteReference"/>
        </w:rPr>
        <w:footnoteReference w:id="22"/>
      </w:r>
      <w:r>
        <w:t xml:space="preserve"> That such an approach is possible has been demonstrated by today’s international courts and tribunals. The many valuable lessons learned during the Australian war crimes prosecutions, have been applied by the International Criminal Tribunal for the Former Yugoslavia (ICTY) where several participants of the Australian proceedings went on in 1994. These lessons were then adopted by the International Criminal Court (ICC). The cultural and linguistic differences between the permanent staff of these courts and tribunals were no less significant, however, communication with victims and witnessed did not cause problems in these ICTs, and even when they occurred, the courts addressed them immediately, without delay. Judges and the lawyers do not assume, unlike in domestic courts, that interpreters can be simply ‘slotted in’ in the proceedings, and excellent working conditions respect the requirements for professional interpretation. These multilingual criminal courts acknowledge that in order to ensure effective courtroom communication with witnesses, victims and the accused, it is essential to learn how to work with a complex multilingual culture and modify their own </w:t>
      </w:r>
      <w:r w:rsidRPr="00AD1C87">
        <w:lastRenderedPageBreak/>
        <w:t>ways of</w:t>
      </w:r>
      <w:r>
        <w:t xml:space="preserve"> communicating with them through an interpreter and thoughtfully interpret their  demeanour and responses. In this respect, domestic courts still have a long way to go.</w:t>
      </w:r>
    </w:p>
    <w:p w14:paraId="2BDE1EB0" w14:textId="77777777" w:rsidR="004C6EF6" w:rsidRDefault="004C6EF6" w:rsidP="004C6EF6">
      <w:pPr>
        <w:jc w:val="both"/>
      </w:pPr>
    </w:p>
    <w:p w14:paraId="034C234D" w14:textId="77777777" w:rsidR="00383874" w:rsidRDefault="0043012B"/>
    <w:sectPr w:rsidR="00383874" w:rsidSect="00702F1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A8916" w14:textId="77777777" w:rsidR="00175F4E" w:rsidRDefault="00175F4E" w:rsidP="004C6EF6">
      <w:r>
        <w:separator/>
      </w:r>
    </w:p>
  </w:endnote>
  <w:endnote w:type="continuationSeparator" w:id="0">
    <w:p w14:paraId="0F1F41D9" w14:textId="77777777" w:rsidR="00175F4E" w:rsidRDefault="00175F4E" w:rsidP="004C6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6871126"/>
      <w:docPartObj>
        <w:docPartGallery w:val="Page Numbers (Bottom of Page)"/>
        <w:docPartUnique/>
      </w:docPartObj>
    </w:sdtPr>
    <w:sdtEndPr/>
    <w:sdtContent>
      <w:p w14:paraId="222C2B92" w14:textId="77777777" w:rsidR="009F7F55" w:rsidRDefault="00175F4E">
        <w:pPr>
          <w:pStyle w:val="Footer"/>
          <w:jc w:val="right"/>
        </w:pPr>
        <w:r>
          <w:fldChar w:fldCharType="begin"/>
        </w:r>
        <w:r>
          <w:instrText xml:space="preserve"> PAGE   \* MERGEFORMAT </w:instrText>
        </w:r>
        <w:r>
          <w:fldChar w:fldCharType="separate"/>
        </w:r>
        <w:r w:rsidR="00536087">
          <w:rPr>
            <w:noProof/>
          </w:rPr>
          <w:t>20</w:t>
        </w:r>
        <w:r>
          <w:fldChar w:fldCharType="end"/>
        </w:r>
      </w:p>
    </w:sdtContent>
  </w:sdt>
  <w:p w14:paraId="139052C3" w14:textId="77777777" w:rsidR="009F7F55" w:rsidRDefault="00430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300E4" w14:textId="77777777" w:rsidR="00175F4E" w:rsidRDefault="00175F4E" w:rsidP="004C6EF6">
      <w:r>
        <w:separator/>
      </w:r>
    </w:p>
  </w:footnote>
  <w:footnote w:type="continuationSeparator" w:id="0">
    <w:p w14:paraId="7F852304" w14:textId="77777777" w:rsidR="00175F4E" w:rsidRDefault="00175F4E" w:rsidP="004C6EF6">
      <w:r>
        <w:continuationSeparator/>
      </w:r>
    </w:p>
  </w:footnote>
  <w:footnote w:id="1">
    <w:p w14:paraId="655801BB" w14:textId="77777777" w:rsidR="00536087" w:rsidRPr="00536087" w:rsidRDefault="00536087" w:rsidP="00536087">
      <w:pPr>
        <w:pStyle w:val="FootnoteText"/>
        <w:jc w:val="both"/>
        <w:rPr>
          <w:i/>
        </w:rPr>
      </w:pPr>
      <w:r w:rsidRPr="00536087">
        <w:rPr>
          <w:rStyle w:val="FootnoteReference"/>
          <w:i/>
        </w:rPr>
        <w:footnoteRef/>
      </w:r>
      <w:r w:rsidRPr="00536087">
        <w:rPr>
          <w:i/>
        </w:rPr>
        <w:t xml:space="preserve"> Yad Vashem is Israel's official historical memorial to the victims of the Holocaust.</w:t>
      </w:r>
    </w:p>
    <w:p w14:paraId="7C474A55" w14:textId="77777777" w:rsidR="00536087" w:rsidRPr="00536087" w:rsidRDefault="00536087" w:rsidP="00536087">
      <w:pPr>
        <w:pStyle w:val="FootnoteText"/>
        <w:jc w:val="both"/>
        <w:rPr>
          <w:i/>
        </w:rPr>
      </w:pPr>
    </w:p>
  </w:footnote>
  <w:footnote w:id="2">
    <w:p w14:paraId="55FB9231" w14:textId="77777777" w:rsidR="004C6EF6" w:rsidRPr="00536087" w:rsidRDefault="004C6EF6" w:rsidP="00536087">
      <w:pPr>
        <w:pStyle w:val="FootnoteText"/>
        <w:jc w:val="both"/>
        <w:rPr>
          <w:i/>
        </w:rPr>
      </w:pPr>
      <w:r w:rsidRPr="00536087">
        <w:rPr>
          <w:rStyle w:val="FootnoteReference"/>
          <w:i/>
        </w:rPr>
        <w:footnoteRef/>
      </w:r>
      <w:r w:rsidRPr="00536087">
        <w:rPr>
          <w:i/>
        </w:rPr>
        <w:t xml:space="preserve"> A similar task was later conducted by the ICTY interpreters involving the military ranks of the different armies of the former Yugoslavia.</w:t>
      </w:r>
    </w:p>
  </w:footnote>
  <w:footnote w:id="3">
    <w:p w14:paraId="2F24509F" w14:textId="77777777" w:rsidR="004C6EF6" w:rsidRPr="00536087" w:rsidRDefault="004C6EF6" w:rsidP="00536087">
      <w:pPr>
        <w:pStyle w:val="FootnoteText"/>
        <w:spacing w:before="240"/>
        <w:rPr>
          <w:i/>
        </w:rPr>
      </w:pPr>
      <w:r w:rsidRPr="00536087">
        <w:rPr>
          <w:rStyle w:val="FootnoteReference"/>
          <w:i/>
        </w:rPr>
        <w:footnoteRef/>
      </w:r>
      <w:r w:rsidRPr="00536087">
        <w:rPr>
          <w:i/>
        </w:rPr>
        <w:t xml:space="preserve"> </w:t>
      </w:r>
      <w:r w:rsidRPr="00536087">
        <w:rPr>
          <w:i/>
          <w:iCs/>
        </w:rPr>
        <w:t xml:space="preserve">The Translator's Invisibility </w:t>
      </w:r>
      <w:r w:rsidRPr="00536087">
        <w:rPr>
          <w:i/>
        </w:rPr>
        <w:t>1995.</w:t>
      </w:r>
    </w:p>
  </w:footnote>
  <w:footnote w:id="4">
    <w:p w14:paraId="1F35B00B" w14:textId="77777777" w:rsidR="004C6EF6" w:rsidRPr="00536087" w:rsidRDefault="004C6EF6" w:rsidP="00536087">
      <w:pPr>
        <w:pStyle w:val="FootnoteText"/>
        <w:spacing w:before="240"/>
        <w:rPr>
          <w:i/>
        </w:rPr>
      </w:pPr>
      <w:r w:rsidRPr="00536087">
        <w:rPr>
          <w:rStyle w:val="FootnoteReference"/>
          <w:i/>
        </w:rPr>
        <w:footnoteRef/>
      </w:r>
      <w:r w:rsidRPr="00536087">
        <w:rPr>
          <w:i/>
        </w:rPr>
        <w:t xml:space="preserve"> 2021 Interview with John Ralston.</w:t>
      </w:r>
    </w:p>
  </w:footnote>
  <w:footnote w:id="5">
    <w:p w14:paraId="69AF4606" w14:textId="77777777" w:rsidR="004C6EF6" w:rsidRPr="00536087" w:rsidRDefault="004C6EF6" w:rsidP="00536087">
      <w:pPr>
        <w:pStyle w:val="FootnoteText"/>
        <w:spacing w:before="240"/>
        <w:rPr>
          <w:i/>
        </w:rPr>
      </w:pPr>
      <w:r w:rsidRPr="00536087">
        <w:rPr>
          <w:rStyle w:val="FootnoteReference"/>
          <w:i/>
        </w:rPr>
        <w:footnoteRef/>
      </w:r>
      <w:r w:rsidRPr="00536087">
        <w:rPr>
          <w:i/>
        </w:rPr>
        <w:t xml:space="preserve"> 2021 personal correspondence with Graham Blew</w:t>
      </w:r>
      <w:r w:rsidR="004A0D3D" w:rsidRPr="00536087">
        <w:rPr>
          <w:i/>
        </w:rPr>
        <w:t>i</w:t>
      </w:r>
      <w:r w:rsidRPr="00536087">
        <w:rPr>
          <w:i/>
        </w:rPr>
        <w:t>tt.</w:t>
      </w:r>
    </w:p>
  </w:footnote>
  <w:footnote w:id="6">
    <w:p w14:paraId="041E3E95" w14:textId="77777777" w:rsidR="004C6EF6" w:rsidRPr="00536087" w:rsidRDefault="004C6EF6" w:rsidP="00536087">
      <w:pPr>
        <w:pStyle w:val="FootnoteText"/>
        <w:spacing w:before="240"/>
        <w:jc w:val="both"/>
        <w:rPr>
          <w:u w:val="single"/>
        </w:rPr>
      </w:pPr>
      <w:r w:rsidRPr="00536087">
        <w:rPr>
          <w:rStyle w:val="FootnoteReference"/>
          <w:u w:val="single"/>
        </w:rPr>
        <w:footnoteRef/>
      </w:r>
      <w:r w:rsidRPr="00536087">
        <w:rPr>
          <w:u w:val="single"/>
        </w:rPr>
        <w:t xml:space="preserve"> In today’s independent state of Ukraine, this russified spelling and pronunciation of the name of the city has been reverted to the Ukrainian ‘Rivne’ which is its current official name.</w:t>
      </w:r>
    </w:p>
  </w:footnote>
  <w:footnote w:id="7">
    <w:p w14:paraId="17538AE9" w14:textId="77777777" w:rsidR="004C6EF6" w:rsidRPr="00536087" w:rsidRDefault="004C6EF6" w:rsidP="008850D1">
      <w:pPr>
        <w:pStyle w:val="FootnoteText"/>
        <w:jc w:val="both"/>
        <w:rPr>
          <w:i/>
          <w:lang w:val="en-US"/>
        </w:rPr>
      </w:pPr>
      <w:r w:rsidRPr="00536087">
        <w:rPr>
          <w:rStyle w:val="FootnoteReference"/>
          <w:i/>
        </w:rPr>
        <w:footnoteRef/>
      </w:r>
      <w:r w:rsidRPr="00536087">
        <w:rPr>
          <w:i/>
        </w:rPr>
        <w:t xml:space="preserve"> </w:t>
      </w:r>
      <w:r w:rsidRPr="00536087">
        <w:rPr>
          <w:i/>
          <w:lang w:val="en-US"/>
        </w:rPr>
        <w:t>Although central Ukraine where the Kirovograd case of Heinrich Wagner was investigated was russified to a greater degree than that of the Western Ukraine, its witnesses also spoke in a mixture of Ukrainian and Russian and were confused whether a particular word was Russian or Ukrainian.</w:t>
      </w:r>
    </w:p>
    <w:p w14:paraId="7B04C9A2" w14:textId="77777777" w:rsidR="00536087" w:rsidRPr="00536087" w:rsidRDefault="00536087" w:rsidP="008850D1">
      <w:pPr>
        <w:pStyle w:val="FootnoteText"/>
        <w:jc w:val="both"/>
        <w:rPr>
          <w:i/>
        </w:rPr>
      </w:pPr>
    </w:p>
  </w:footnote>
  <w:footnote w:id="8">
    <w:p w14:paraId="01B84683" w14:textId="77777777" w:rsidR="004C6EF6" w:rsidRPr="00536087" w:rsidRDefault="004C6EF6" w:rsidP="008850D1">
      <w:pPr>
        <w:pStyle w:val="FootnoteText"/>
        <w:jc w:val="both"/>
        <w:rPr>
          <w:i/>
        </w:rPr>
      </w:pPr>
      <w:r w:rsidRPr="00536087">
        <w:rPr>
          <w:rStyle w:val="FootnoteReference"/>
          <w:i/>
        </w:rPr>
        <w:footnoteRef/>
      </w:r>
      <w:r w:rsidRPr="00536087">
        <w:rPr>
          <w:i/>
        </w:rPr>
        <w:t xml:space="preserve"> The linguist Anna Wierzbicka (ANU) describes as ‘cultural script’ what people in different cultures traditionally say to each other in a conversation, and the way a conversation evolves.</w:t>
      </w:r>
    </w:p>
  </w:footnote>
  <w:footnote w:id="9">
    <w:p w14:paraId="1575D068" w14:textId="77777777" w:rsidR="004C6EF6" w:rsidRPr="00536087" w:rsidRDefault="004C6EF6" w:rsidP="00536087">
      <w:pPr>
        <w:pStyle w:val="FootnoteText"/>
        <w:jc w:val="both"/>
        <w:rPr>
          <w:i/>
        </w:rPr>
      </w:pPr>
      <w:r w:rsidRPr="00536087">
        <w:rPr>
          <w:rStyle w:val="FootnoteReference"/>
          <w:i/>
        </w:rPr>
        <w:footnoteRef/>
      </w:r>
      <w:r w:rsidRPr="00536087">
        <w:rPr>
          <w:i/>
        </w:rPr>
        <w:t xml:space="preserve"> These are some of the tenets of the AUSIT Code of Ethics and Professional Conduct (1995; 2012).</w:t>
      </w:r>
    </w:p>
  </w:footnote>
  <w:footnote w:id="10">
    <w:p w14:paraId="63C8DDD4" w14:textId="77777777" w:rsidR="004C6EF6" w:rsidRPr="00536087" w:rsidRDefault="004C6EF6" w:rsidP="00536087">
      <w:pPr>
        <w:pStyle w:val="FootnoteText"/>
        <w:jc w:val="both"/>
        <w:rPr>
          <w:i/>
        </w:rPr>
      </w:pPr>
      <w:r w:rsidRPr="00536087">
        <w:rPr>
          <w:rStyle w:val="FootnoteReference"/>
          <w:i/>
        </w:rPr>
        <w:footnoteRef/>
      </w:r>
      <w:r w:rsidRPr="00536087">
        <w:rPr>
          <w:i/>
        </w:rPr>
        <w:t xml:space="preserve"> This approach to unearthing information using investigators’ facts-based interviewing strategy was later adopted by those interpreters who pursued research or journalism involving human interviews.</w:t>
      </w:r>
    </w:p>
    <w:p w14:paraId="2BF2F9C4" w14:textId="77777777" w:rsidR="00536087" w:rsidRPr="00536087" w:rsidRDefault="00536087" w:rsidP="00536087">
      <w:pPr>
        <w:pStyle w:val="FootnoteText"/>
        <w:jc w:val="both"/>
        <w:rPr>
          <w:i/>
        </w:rPr>
      </w:pPr>
    </w:p>
  </w:footnote>
  <w:footnote w:id="11">
    <w:p w14:paraId="23648F53" w14:textId="77777777" w:rsidR="004C6EF6" w:rsidRPr="00536087" w:rsidRDefault="004C6EF6" w:rsidP="00536087">
      <w:pPr>
        <w:pStyle w:val="FootnoteText"/>
        <w:jc w:val="both"/>
        <w:rPr>
          <w:i/>
          <w:lang w:val="en-US"/>
        </w:rPr>
      </w:pPr>
      <w:r w:rsidRPr="00536087">
        <w:rPr>
          <w:rStyle w:val="FootnoteReference"/>
          <w:i/>
        </w:rPr>
        <w:footnoteRef/>
      </w:r>
      <w:r w:rsidRPr="00536087">
        <w:rPr>
          <w:i/>
        </w:rPr>
        <w:t xml:space="preserve"> </w:t>
      </w:r>
      <w:r w:rsidRPr="00536087">
        <w:rPr>
          <w:i/>
          <w:lang w:val="en-US"/>
        </w:rPr>
        <w:t>Poles'ye: Linguistics, Archeology, Toponymy 1968.</w:t>
      </w:r>
    </w:p>
    <w:p w14:paraId="63DB22B1" w14:textId="77777777" w:rsidR="00536087" w:rsidRPr="00536087" w:rsidRDefault="00536087" w:rsidP="00536087">
      <w:pPr>
        <w:pStyle w:val="FootnoteText"/>
        <w:jc w:val="both"/>
        <w:rPr>
          <w:i/>
        </w:rPr>
      </w:pPr>
    </w:p>
  </w:footnote>
  <w:footnote w:id="12">
    <w:p w14:paraId="68CEBB56" w14:textId="77777777" w:rsidR="004C6EF6" w:rsidRPr="00536087" w:rsidRDefault="004C6EF6" w:rsidP="00536087">
      <w:pPr>
        <w:pStyle w:val="FootnoteText"/>
        <w:jc w:val="both"/>
        <w:rPr>
          <w:i/>
        </w:rPr>
      </w:pPr>
      <w:r w:rsidRPr="00536087">
        <w:rPr>
          <w:rStyle w:val="FootnoteReference"/>
          <w:i/>
        </w:rPr>
        <w:footnoteRef/>
      </w:r>
      <w:r w:rsidRPr="00536087">
        <w:rPr>
          <w:i/>
        </w:rPr>
        <w:t xml:space="preserve"> On Trial Series: The Ivan Polyukhovich Trial https://jhc.org.au/event/on-trial-ivan-polyukhovich-the-only-holocaust-trial-in-australia/</w:t>
      </w:r>
    </w:p>
  </w:footnote>
  <w:footnote w:id="13">
    <w:p w14:paraId="5DF5C6AE" w14:textId="77777777" w:rsidR="004C6EF6" w:rsidRPr="002D1703" w:rsidRDefault="004C6EF6" w:rsidP="002D1703">
      <w:pPr>
        <w:widowControl w:val="0"/>
        <w:tabs>
          <w:tab w:val="left" w:pos="360"/>
          <w:tab w:val="left" w:pos="1080"/>
        </w:tabs>
        <w:jc w:val="both"/>
        <w:rPr>
          <w:i/>
          <w:sz w:val="20"/>
          <w:szCs w:val="20"/>
        </w:rPr>
      </w:pPr>
      <w:r w:rsidRPr="002D1703">
        <w:rPr>
          <w:rStyle w:val="FootnoteReference"/>
          <w:sz w:val="20"/>
          <w:szCs w:val="20"/>
        </w:rPr>
        <w:footnoteRef/>
      </w:r>
      <w:r w:rsidRPr="002D1703">
        <w:rPr>
          <w:sz w:val="20"/>
          <w:szCs w:val="20"/>
        </w:rPr>
        <w:t xml:space="preserve"> </w:t>
      </w:r>
      <w:r w:rsidRPr="002D1703">
        <w:rPr>
          <w:i/>
          <w:sz w:val="20"/>
          <w:szCs w:val="20"/>
        </w:rPr>
        <w:t>Access to Interpreters in the Australian Legal System</w:t>
      </w:r>
      <w:r w:rsidRPr="002D1703">
        <w:rPr>
          <w:sz w:val="20"/>
          <w:szCs w:val="20"/>
        </w:rPr>
        <w:t xml:space="preserve">. Report. Commonwealth Attorney-General's </w:t>
      </w:r>
      <w:r w:rsidRPr="002D1703">
        <w:rPr>
          <w:i/>
          <w:sz w:val="20"/>
          <w:szCs w:val="20"/>
        </w:rPr>
        <w:t>Department. April 1991, Australian Government Publishing Service, Canberra, p. 45.</w:t>
      </w:r>
    </w:p>
    <w:p w14:paraId="38D3E564" w14:textId="77777777" w:rsidR="004C6EF6" w:rsidRDefault="004C6EF6" w:rsidP="002D1703">
      <w:pPr>
        <w:pStyle w:val="FootnoteText"/>
        <w:jc w:val="both"/>
      </w:pPr>
    </w:p>
  </w:footnote>
  <w:footnote w:id="14">
    <w:p w14:paraId="3414018C" w14:textId="77777777" w:rsidR="004C6EF6" w:rsidRDefault="004C6EF6" w:rsidP="002D1703">
      <w:pPr>
        <w:pStyle w:val="FootnoteText"/>
        <w:jc w:val="both"/>
      </w:pPr>
      <w:r>
        <w:rPr>
          <w:rStyle w:val="FootnoteReference"/>
        </w:rPr>
        <w:footnoteRef/>
      </w:r>
      <w:r>
        <w:t xml:space="preserve"> Diana Eades’ major works, </w:t>
      </w:r>
      <w:r w:rsidRPr="006C5016">
        <w:rPr>
          <w:i/>
          <w:iCs/>
        </w:rPr>
        <w:t>Aboriginal English and the law, communicating with Aboriginal English</w:t>
      </w:r>
      <w:r>
        <w:rPr>
          <w:i/>
          <w:iCs/>
        </w:rPr>
        <w:t xml:space="preserve"> </w:t>
      </w:r>
      <w:r w:rsidRPr="006C5016">
        <w:rPr>
          <w:i/>
          <w:iCs/>
        </w:rPr>
        <w:t>speaking clients: a handbook for legal practitioners</w:t>
      </w:r>
      <w:r>
        <w:t xml:space="preserve"> (1992), was only just published.</w:t>
      </w:r>
    </w:p>
    <w:p w14:paraId="7E8C37FD" w14:textId="77777777" w:rsidR="002D1703" w:rsidRDefault="002D1703" w:rsidP="002D1703">
      <w:pPr>
        <w:pStyle w:val="FootnoteText"/>
        <w:jc w:val="both"/>
      </w:pPr>
    </w:p>
  </w:footnote>
  <w:footnote w:id="15">
    <w:p w14:paraId="644CE6D5" w14:textId="77777777" w:rsidR="004C6EF6" w:rsidRPr="007A79A7" w:rsidRDefault="004C6EF6" w:rsidP="002D1703">
      <w:pPr>
        <w:pStyle w:val="FootnoteText"/>
        <w:jc w:val="both"/>
        <w:rPr>
          <w:i/>
          <w:iCs/>
        </w:rPr>
      </w:pPr>
      <w:r>
        <w:rPr>
          <w:rStyle w:val="FootnoteReference"/>
        </w:rPr>
        <w:footnoteRef/>
      </w:r>
      <w:r>
        <w:t xml:space="preserve"> </w:t>
      </w:r>
      <w:r>
        <w:rPr>
          <w:i/>
          <w:iCs/>
        </w:rPr>
        <w:t xml:space="preserve">Access to interpreters… </w:t>
      </w:r>
      <w:r>
        <w:t>p. 47</w:t>
      </w:r>
    </w:p>
  </w:footnote>
  <w:footnote w:id="16">
    <w:p w14:paraId="75407861" w14:textId="77777777" w:rsidR="004C6EF6" w:rsidRPr="00536087" w:rsidRDefault="004C6EF6" w:rsidP="00536087">
      <w:pPr>
        <w:pStyle w:val="FootnoteText"/>
        <w:jc w:val="both"/>
        <w:rPr>
          <w:i/>
        </w:rPr>
      </w:pPr>
      <w:r w:rsidRPr="00536087">
        <w:rPr>
          <w:rStyle w:val="FootnoteReference"/>
          <w:i/>
        </w:rPr>
        <w:footnoteRef/>
      </w:r>
      <w:r w:rsidRPr="00536087">
        <w:rPr>
          <w:i/>
        </w:rPr>
        <w:t xml:space="preserve"> Linguistic Report in the War Crimes Prosecution of H. Vagner, 1992. </w:t>
      </w:r>
    </w:p>
  </w:footnote>
  <w:footnote w:id="17">
    <w:p w14:paraId="45571CDF" w14:textId="77777777" w:rsidR="004C6EF6" w:rsidRPr="00536087" w:rsidRDefault="004C6EF6" w:rsidP="00536087">
      <w:pPr>
        <w:pStyle w:val="FootnoteText"/>
        <w:jc w:val="both"/>
        <w:rPr>
          <w:i/>
        </w:rPr>
      </w:pPr>
      <w:r w:rsidRPr="00536087">
        <w:rPr>
          <w:rStyle w:val="FootnoteReference"/>
          <w:i/>
        </w:rPr>
        <w:footnoteRef/>
      </w:r>
      <w:r w:rsidRPr="00536087">
        <w:rPr>
          <w:i/>
        </w:rPr>
        <w:t xml:space="preserve"> Taken from the Berezovsky committal hearing.</w:t>
      </w:r>
    </w:p>
  </w:footnote>
  <w:footnote w:id="18">
    <w:p w14:paraId="39FB65C3" w14:textId="77777777" w:rsidR="004C6EF6" w:rsidRPr="00536087" w:rsidRDefault="004C6EF6" w:rsidP="00536087">
      <w:pPr>
        <w:pStyle w:val="FootnoteText"/>
        <w:jc w:val="both"/>
        <w:rPr>
          <w:i/>
          <w:color w:val="000000" w:themeColor="text1"/>
        </w:rPr>
      </w:pPr>
      <w:r w:rsidRPr="00536087">
        <w:rPr>
          <w:rStyle w:val="FootnoteReference"/>
          <w:i/>
          <w:color w:val="000000" w:themeColor="text1"/>
        </w:rPr>
        <w:footnoteRef/>
      </w:r>
      <w:r w:rsidRPr="00536087">
        <w:rPr>
          <w:i/>
          <w:color w:val="000000" w:themeColor="text1"/>
        </w:rPr>
        <w:t xml:space="preserve"> </w:t>
      </w:r>
      <w:hyperlink r:id="rId1" w:history="1">
        <w:r w:rsidRPr="00536087">
          <w:rPr>
            <w:rStyle w:val="Hyperlink"/>
            <w:i/>
            <w:color w:val="000000" w:themeColor="text1"/>
          </w:rPr>
          <w:t>https://rg.ru/2015/12/08/rodina-sud.html</w:t>
        </w:r>
      </w:hyperlink>
    </w:p>
  </w:footnote>
  <w:footnote w:id="19">
    <w:p w14:paraId="7C7BC001" w14:textId="77777777" w:rsidR="004C6EF6" w:rsidRPr="00536087" w:rsidRDefault="004C6EF6" w:rsidP="00536087">
      <w:pPr>
        <w:pStyle w:val="FootnoteText"/>
        <w:jc w:val="both"/>
        <w:rPr>
          <w:i/>
        </w:rPr>
      </w:pPr>
      <w:r w:rsidRPr="00536087">
        <w:rPr>
          <w:rStyle w:val="FootnoteReference"/>
          <w:i/>
        </w:rPr>
        <w:footnoteRef/>
      </w:r>
      <w:r w:rsidRPr="00536087">
        <w:rPr>
          <w:i/>
        </w:rPr>
        <w:t xml:space="preserve"> 2021 Personal correspondence with Graham Blew</w:t>
      </w:r>
      <w:r w:rsidR="00536087" w:rsidRPr="00536087">
        <w:rPr>
          <w:i/>
        </w:rPr>
        <w:t>i</w:t>
      </w:r>
      <w:r w:rsidRPr="00536087">
        <w:rPr>
          <w:i/>
        </w:rPr>
        <w:t>tt.</w:t>
      </w:r>
    </w:p>
  </w:footnote>
  <w:footnote w:id="20">
    <w:p w14:paraId="3281E239" w14:textId="77777777" w:rsidR="004C6EF6" w:rsidRPr="00536087" w:rsidRDefault="004C6EF6" w:rsidP="00536087">
      <w:pPr>
        <w:pStyle w:val="FootnoteText"/>
        <w:jc w:val="both"/>
        <w:rPr>
          <w:i/>
        </w:rPr>
      </w:pPr>
      <w:r w:rsidRPr="00536087">
        <w:rPr>
          <w:rStyle w:val="FootnoteReference"/>
          <w:i/>
        </w:rPr>
        <w:footnoteRef/>
      </w:r>
      <w:r w:rsidRPr="00536087">
        <w:rPr>
          <w:i/>
        </w:rPr>
        <w:t xml:space="preserve"> Stern L, 1995, 'Non-English Speaking Witnesses in the Australian Legal Context: The War Crimes Prosecution as a Case Study', </w:t>
      </w:r>
      <w:r w:rsidRPr="00536087">
        <w:rPr>
          <w:i/>
          <w:iCs/>
        </w:rPr>
        <w:t>Law/Text/Culture</w:t>
      </w:r>
      <w:r w:rsidRPr="00536087">
        <w:rPr>
          <w:i/>
        </w:rPr>
        <w:t>, pp. 6 – 31.</w:t>
      </w:r>
    </w:p>
    <w:p w14:paraId="3BD061ED" w14:textId="77777777" w:rsidR="004C6EF6" w:rsidRPr="00536087" w:rsidRDefault="004C6EF6" w:rsidP="00536087">
      <w:pPr>
        <w:pStyle w:val="FootnoteText"/>
        <w:jc w:val="both"/>
        <w:rPr>
          <w:i/>
        </w:rPr>
      </w:pPr>
    </w:p>
  </w:footnote>
  <w:footnote w:id="21">
    <w:p w14:paraId="444983EF" w14:textId="77777777" w:rsidR="004C6EF6" w:rsidRPr="00536087" w:rsidRDefault="004C6EF6" w:rsidP="00536087">
      <w:pPr>
        <w:pStyle w:val="FootnoteText"/>
        <w:jc w:val="both"/>
        <w:rPr>
          <w:i/>
        </w:rPr>
      </w:pPr>
      <w:r w:rsidRPr="00536087">
        <w:rPr>
          <w:rStyle w:val="FootnoteReference"/>
          <w:i/>
        </w:rPr>
        <w:footnoteRef/>
      </w:r>
      <w:r w:rsidRPr="00536087">
        <w:rPr>
          <w:i/>
        </w:rPr>
        <w:t xml:space="preserve"> These and other principles have been enshrined in the </w:t>
      </w:r>
      <w:r w:rsidRPr="00536087">
        <w:rPr>
          <w:i/>
          <w:iCs/>
        </w:rPr>
        <w:t>Recommended National Standards for Working with Interpreters in Courts and Tribunals</w:t>
      </w:r>
      <w:r w:rsidRPr="00536087">
        <w:rPr>
          <w:i/>
        </w:rPr>
        <w:t xml:space="preserve"> developed by the Judicial Council for Cultural Diversity (2017).</w:t>
      </w:r>
    </w:p>
    <w:p w14:paraId="53574290" w14:textId="77777777" w:rsidR="00536087" w:rsidRPr="00536087" w:rsidRDefault="00536087" w:rsidP="00536087">
      <w:pPr>
        <w:pStyle w:val="FootnoteText"/>
        <w:jc w:val="both"/>
        <w:rPr>
          <w:i/>
        </w:rPr>
      </w:pPr>
    </w:p>
  </w:footnote>
  <w:footnote w:id="22">
    <w:p w14:paraId="55A166E0" w14:textId="77777777" w:rsidR="004C6EF6" w:rsidRPr="00536087" w:rsidRDefault="004C6EF6" w:rsidP="00536087">
      <w:pPr>
        <w:pStyle w:val="FootnoteText"/>
        <w:jc w:val="both"/>
        <w:rPr>
          <w:i/>
        </w:rPr>
      </w:pPr>
      <w:r w:rsidRPr="00536087">
        <w:rPr>
          <w:rStyle w:val="FootnoteReference"/>
          <w:i/>
        </w:rPr>
        <w:footnoteRef/>
      </w:r>
      <w:r w:rsidRPr="00536087">
        <w:rPr>
          <w:i/>
        </w:rPr>
        <w:t xml:space="preserve"> The author’s interview with Bob Reid at the ICTY, 2008.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C6EF6"/>
    <w:rsid w:val="00070BEE"/>
    <w:rsid w:val="00175F4E"/>
    <w:rsid w:val="002D1703"/>
    <w:rsid w:val="002F7BA5"/>
    <w:rsid w:val="0043012B"/>
    <w:rsid w:val="004A0D3D"/>
    <w:rsid w:val="004C6EF6"/>
    <w:rsid w:val="00515D24"/>
    <w:rsid w:val="00536087"/>
    <w:rsid w:val="006D0648"/>
    <w:rsid w:val="008850D1"/>
    <w:rsid w:val="008D4CFA"/>
    <w:rsid w:val="009458E5"/>
    <w:rsid w:val="00A95B0A"/>
    <w:rsid w:val="00B40893"/>
    <w:rsid w:val="00B909E0"/>
    <w:rsid w:val="00CA78E6"/>
    <w:rsid w:val="00DC63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668EB"/>
  <w15:docId w15:val="{23773CB0-CAF2-4DBF-8BCC-713F81FD4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6EF6"/>
    <w:pPr>
      <w:spacing w:after="0" w:line="240" w:lineRule="auto"/>
    </w:pPr>
    <w:rPr>
      <w:rFonts w:ascii="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EF6"/>
    <w:pPr>
      <w:spacing w:before="100" w:beforeAutospacing="1" w:after="100" w:afterAutospacing="1"/>
    </w:pPr>
    <w:rPr>
      <w:rFonts w:eastAsia="Times New Roman"/>
      <w:lang w:eastAsia="en-GB"/>
    </w:rPr>
  </w:style>
  <w:style w:type="character" w:styleId="Hyperlink">
    <w:name w:val="Hyperlink"/>
    <w:basedOn w:val="DefaultParagraphFont"/>
    <w:uiPriority w:val="99"/>
    <w:unhideWhenUsed/>
    <w:rsid w:val="004C6EF6"/>
    <w:rPr>
      <w:color w:val="0000FF" w:themeColor="hyperlink"/>
      <w:u w:val="single"/>
    </w:rPr>
  </w:style>
  <w:style w:type="paragraph" w:styleId="FootnoteText">
    <w:name w:val="footnote text"/>
    <w:basedOn w:val="Normal"/>
    <w:link w:val="FootnoteTextChar"/>
    <w:uiPriority w:val="99"/>
    <w:semiHidden/>
    <w:unhideWhenUsed/>
    <w:rsid w:val="004C6EF6"/>
    <w:rPr>
      <w:sz w:val="20"/>
      <w:szCs w:val="20"/>
    </w:rPr>
  </w:style>
  <w:style w:type="character" w:customStyle="1" w:styleId="FootnoteTextChar">
    <w:name w:val="Footnote Text Char"/>
    <w:basedOn w:val="DefaultParagraphFont"/>
    <w:link w:val="FootnoteText"/>
    <w:uiPriority w:val="99"/>
    <w:semiHidden/>
    <w:rsid w:val="004C6EF6"/>
    <w:rPr>
      <w:rFonts w:ascii="Times New Roman" w:hAnsi="Times New Roman" w:cs="Times New Roman"/>
      <w:sz w:val="20"/>
      <w:szCs w:val="20"/>
      <w:lang w:eastAsia="en-AU"/>
    </w:rPr>
  </w:style>
  <w:style w:type="character" w:styleId="FootnoteReference">
    <w:name w:val="footnote reference"/>
    <w:basedOn w:val="DefaultParagraphFont"/>
    <w:uiPriority w:val="99"/>
    <w:semiHidden/>
    <w:unhideWhenUsed/>
    <w:rsid w:val="004C6EF6"/>
    <w:rPr>
      <w:vertAlign w:val="superscript"/>
    </w:rPr>
  </w:style>
  <w:style w:type="paragraph" w:styleId="Footer">
    <w:name w:val="footer"/>
    <w:basedOn w:val="Normal"/>
    <w:link w:val="FooterChar"/>
    <w:uiPriority w:val="99"/>
    <w:unhideWhenUsed/>
    <w:rsid w:val="004C6EF6"/>
    <w:pPr>
      <w:tabs>
        <w:tab w:val="center" w:pos="4513"/>
        <w:tab w:val="right" w:pos="9026"/>
      </w:tabs>
    </w:pPr>
  </w:style>
  <w:style w:type="character" w:customStyle="1" w:styleId="FooterChar">
    <w:name w:val="Footer Char"/>
    <w:basedOn w:val="DefaultParagraphFont"/>
    <w:link w:val="Footer"/>
    <w:uiPriority w:val="99"/>
    <w:rsid w:val="004C6EF6"/>
    <w:rPr>
      <w:rFonts w:ascii="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rg.ru/2015/12/08/rodina-su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161A32-5B8E-454F-AB6C-67797E469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9137</Words>
  <Characters>52084</Characters>
  <Application>Microsoft Office Word</Application>
  <DocSecurity>4</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bruser1729</cp:lastModifiedBy>
  <cp:revision>2</cp:revision>
  <dcterms:created xsi:type="dcterms:W3CDTF">2021-11-30T01:40:00Z</dcterms:created>
  <dcterms:modified xsi:type="dcterms:W3CDTF">2021-11-30T01:40:00Z</dcterms:modified>
</cp:coreProperties>
</file>